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929"/>
      </w:tblGrid>
      <w:tr w:rsidR="005A29A0" w:rsidTr="00640D54">
        <w:trPr>
          <w:trHeight w:val="1282"/>
        </w:trPr>
        <w:tc>
          <w:tcPr>
            <w:tcW w:w="5778"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5A29A0" w:rsidRDefault="005A29A0" w:rsidP="00640D54">
            <w:pPr>
              <w:jc w:val="center"/>
              <w:rPr>
                <w:rFonts w:ascii="Times New Roman" w:hAnsi="Times New Roman" w:cs="Times New Roman"/>
                <w:i/>
                <w:sz w:val="44"/>
                <w:szCs w:val="44"/>
              </w:rPr>
            </w:pPr>
          </w:p>
          <w:p w:rsidR="005A29A0" w:rsidRDefault="005A29A0" w:rsidP="00640D54">
            <w:pPr>
              <w:jc w:val="center"/>
              <w:rPr>
                <w:rFonts w:ascii="Times New Roman" w:hAnsi="Times New Roman" w:cs="Times New Roman"/>
                <w:i/>
                <w:sz w:val="44"/>
                <w:szCs w:val="44"/>
              </w:rPr>
            </w:pPr>
            <w:r>
              <w:rPr>
                <w:rFonts w:ascii="Times New Roman" w:hAnsi="Times New Roman" w:cs="Times New Roman"/>
                <w:i/>
                <w:sz w:val="44"/>
                <w:szCs w:val="44"/>
              </w:rPr>
              <w:t>БУЛДЕЕВСКИЙ ВЕСТНИК</w:t>
            </w:r>
          </w:p>
          <w:p w:rsidR="005A29A0" w:rsidRDefault="005A29A0" w:rsidP="00640D54">
            <w:pPr>
              <w:jc w:val="center"/>
              <w:rPr>
                <w:rFonts w:ascii="Times New Roman" w:hAnsi="Times New Roman" w:cs="Times New Roman"/>
                <w:sz w:val="20"/>
                <w:szCs w:val="20"/>
              </w:rPr>
            </w:pPr>
            <w:r>
              <w:rPr>
                <w:rFonts w:ascii="Times New Roman" w:hAnsi="Times New Roman" w:cs="Times New Roman"/>
                <w:sz w:val="20"/>
                <w:szCs w:val="20"/>
              </w:rPr>
              <w:t>Газета основана 28 апреля 2011 года</w:t>
            </w:r>
          </w:p>
        </w:tc>
        <w:tc>
          <w:tcPr>
            <w:tcW w:w="3929" w:type="dxa"/>
            <w:tcBorders>
              <w:top w:val="single" w:sz="4" w:space="0" w:color="000000"/>
              <w:left w:val="single" w:sz="4" w:space="0" w:color="000000"/>
              <w:bottom w:val="single" w:sz="4" w:space="0" w:color="auto"/>
              <w:right w:val="single" w:sz="4" w:space="0" w:color="000000"/>
            </w:tcBorders>
            <w:shd w:val="clear" w:color="auto" w:fill="C2D69B"/>
          </w:tcPr>
          <w:p w:rsidR="005A29A0" w:rsidRDefault="005A29A0" w:rsidP="00640D54">
            <w:pPr>
              <w:spacing w:after="0"/>
              <w:jc w:val="center"/>
              <w:rPr>
                <w:rFonts w:ascii="Times New Roman" w:hAnsi="Times New Roman" w:cs="Times New Roman"/>
                <w:sz w:val="20"/>
                <w:szCs w:val="20"/>
              </w:rPr>
            </w:pPr>
          </w:p>
          <w:p w:rsidR="005A29A0" w:rsidRDefault="005A29A0" w:rsidP="00640D54">
            <w:pPr>
              <w:spacing w:after="0"/>
              <w:jc w:val="center"/>
              <w:rPr>
                <w:rFonts w:ascii="Times New Roman" w:hAnsi="Times New Roman" w:cs="Times New Roman"/>
                <w:sz w:val="20"/>
                <w:szCs w:val="20"/>
              </w:rPr>
            </w:pPr>
            <w:r>
              <w:rPr>
                <w:rFonts w:ascii="Times New Roman" w:hAnsi="Times New Roman" w:cs="Times New Roman"/>
                <w:sz w:val="20"/>
                <w:szCs w:val="20"/>
              </w:rPr>
              <w:t xml:space="preserve">                     2022</w:t>
            </w:r>
          </w:p>
          <w:p w:rsidR="005A29A0" w:rsidRDefault="00CD5662" w:rsidP="00640D54">
            <w:pPr>
              <w:spacing w:after="0"/>
              <w:jc w:val="center"/>
              <w:rPr>
                <w:rFonts w:ascii="Times New Roman" w:hAnsi="Times New Roman" w:cs="Times New Roman"/>
                <w:sz w:val="20"/>
                <w:szCs w:val="20"/>
              </w:rPr>
            </w:pPr>
            <w:r>
              <w:rPr>
                <w:rFonts w:ascii="Times New Roman" w:hAnsi="Times New Roman" w:cs="Times New Roman"/>
                <w:sz w:val="20"/>
                <w:szCs w:val="20"/>
              </w:rPr>
              <w:t xml:space="preserve">                     28 </w:t>
            </w:r>
            <w:r w:rsidR="005A29A0">
              <w:rPr>
                <w:rFonts w:ascii="Times New Roman" w:hAnsi="Times New Roman" w:cs="Times New Roman"/>
                <w:sz w:val="20"/>
                <w:szCs w:val="20"/>
              </w:rPr>
              <w:t xml:space="preserve">июня    </w:t>
            </w:r>
          </w:p>
          <w:p w:rsidR="005A29A0" w:rsidRDefault="005A29A0" w:rsidP="00640D54">
            <w:pPr>
              <w:spacing w:after="0"/>
              <w:jc w:val="center"/>
              <w:rPr>
                <w:rFonts w:ascii="Times New Roman" w:hAnsi="Times New Roman" w:cs="Times New Roman"/>
                <w:sz w:val="20"/>
                <w:szCs w:val="20"/>
              </w:rPr>
            </w:pPr>
            <w:r>
              <w:rPr>
                <w:rFonts w:ascii="Times New Roman" w:hAnsi="Times New Roman" w:cs="Times New Roman"/>
                <w:sz w:val="20"/>
                <w:szCs w:val="20"/>
              </w:rPr>
              <w:t xml:space="preserve">                     понедельник</w:t>
            </w:r>
          </w:p>
        </w:tc>
      </w:tr>
      <w:tr w:rsidR="005A29A0" w:rsidTr="00640D54">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29A0" w:rsidRDefault="005A29A0" w:rsidP="00640D54">
            <w:pPr>
              <w:spacing w:after="0" w:line="240" w:lineRule="auto"/>
              <w:rPr>
                <w:rFonts w:ascii="Times New Roman" w:hAnsi="Times New Roman" w:cs="Times New Roman"/>
                <w:sz w:val="20"/>
                <w:szCs w:val="20"/>
              </w:rPr>
            </w:pPr>
          </w:p>
        </w:tc>
        <w:tc>
          <w:tcPr>
            <w:tcW w:w="3929" w:type="dxa"/>
            <w:tcBorders>
              <w:top w:val="single" w:sz="4" w:space="0" w:color="auto"/>
              <w:left w:val="single" w:sz="4" w:space="0" w:color="000000"/>
              <w:bottom w:val="single" w:sz="4" w:space="0" w:color="000000"/>
              <w:right w:val="single" w:sz="4" w:space="0" w:color="000000"/>
            </w:tcBorders>
            <w:shd w:val="clear" w:color="auto" w:fill="C2D69B"/>
            <w:hideMark/>
          </w:tcPr>
          <w:p w:rsidR="005A29A0" w:rsidRDefault="005A29A0" w:rsidP="00640D54">
            <w:pPr>
              <w:jc w:val="center"/>
              <w:rPr>
                <w:rFonts w:ascii="Times New Roman" w:hAnsi="Times New Roman" w:cs="Times New Roman"/>
                <w:sz w:val="20"/>
                <w:szCs w:val="20"/>
              </w:rPr>
            </w:pPr>
            <w:r>
              <w:rPr>
                <w:rFonts w:ascii="Times New Roman" w:hAnsi="Times New Roman" w:cs="Times New Roman"/>
                <w:sz w:val="20"/>
                <w:szCs w:val="20"/>
              </w:rPr>
              <w:t xml:space="preserve">                 </w:t>
            </w:r>
          </w:p>
          <w:p w:rsidR="005A29A0" w:rsidRDefault="005A29A0" w:rsidP="00640D54">
            <w:pPr>
              <w:rPr>
                <w:rFonts w:ascii="Times New Roman" w:hAnsi="Times New Roman" w:cs="Times New Roman"/>
                <w:sz w:val="20"/>
                <w:szCs w:val="20"/>
              </w:rPr>
            </w:pPr>
            <w:r>
              <w:rPr>
                <w:rFonts w:ascii="Times New Roman" w:hAnsi="Times New Roman" w:cs="Times New Roman"/>
                <w:sz w:val="20"/>
                <w:szCs w:val="20"/>
              </w:rPr>
              <w:t xml:space="preserve">                                          №  1</w:t>
            </w:r>
            <w:r w:rsidR="006A230E">
              <w:rPr>
                <w:rFonts w:ascii="Times New Roman" w:hAnsi="Times New Roman" w:cs="Times New Roman"/>
                <w:sz w:val="20"/>
                <w:szCs w:val="20"/>
              </w:rPr>
              <w:t>5</w:t>
            </w:r>
          </w:p>
        </w:tc>
      </w:tr>
    </w:tbl>
    <w:p w:rsidR="005A29A0" w:rsidRDefault="005A29A0" w:rsidP="005A29A0">
      <w:pPr>
        <w:spacing w:before="120" w:after="120"/>
        <w:contextualSpacing/>
        <w:jc w:val="center"/>
        <w:rPr>
          <w:rFonts w:ascii="Arial" w:hAnsi="Arial" w:cs="Arial"/>
          <w:b/>
          <w:sz w:val="20"/>
          <w:szCs w:val="20"/>
        </w:rPr>
      </w:pPr>
    </w:p>
    <w:p w:rsidR="005A29A0" w:rsidRDefault="005A29A0" w:rsidP="005A29A0">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В номере:</w:t>
      </w:r>
    </w:p>
    <w:p w:rsidR="005A29A0" w:rsidRDefault="00556AB7" w:rsidP="005A29A0">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 xml:space="preserve">1.Информации прокуратуры  </w:t>
      </w:r>
      <w:proofErr w:type="spellStart"/>
      <w:r>
        <w:rPr>
          <w:rFonts w:ascii="Times New Roman" w:hAnsi="Times New Roman" w:cs="Times New Roman"/>
          <w:b/>
          <w:sz w:val="20"/>
          <w:szCs w:val="20"/>
        </w:rPr>
        <w:t>Цивильского</w:t>
      </w:r>
      <w:proofErr w:type="spellEnd"/>
      <w:r>
        <w:rPr>
          <w:rFonts w:ascii="Times New Roman" w:hAnsi="Times New Roman" w:cs="Times New Roman"/>
          <w:b/>
          <w:sz w:val="20"/>
          <w:szCs w:val="20"/>
        </w:rPr>
        <w:t xml:space="preserve"> района</w:t>
      </w:r>
      <w:proofErr w:type="gramStart"/>
      <w:r>
        <w:rPr>
          <w:rFonts w:ascii="Times New Roman" w:hAnsi="Times New Roman" w:cs="Times New Roman"/>
          <w:b/>
          <w:sz w:val="20"/>
          <w:szCs w:val="20"/>
        </w:rPr>
        <w:t xml:space="preserve"> .</w:t>
      </w:r>
      <w:proofErr w:type="gramEnd"/>
    </w:p>
    <w:p w:rsidR="00556AB7" w:rsidRDefault="00556AB7" w:rsidP="005A29A0">
      <w:pPr>
        <w:spacing w:after="0" w:line="240" w:lineRule="auto"/>
        <w:contextualSpacing/>
        <w:jc w:val="both"/>
        <w:rPr>
          <w:rFonts w:ascii="Times New Roman" w:hAnsi="Times New Roman" w:cs="Times New Roman"/>
          <w:b/>
          <w:sz w:val="20"/>
          <w:szCs w:val="20"/>
        </w:rPr>
      </w:pPr>
    </w:p>
    <w:p w:rsidR="00556AB7" w:rsidRDefault="00556AB7" w:rsidP="005A29A0">
      <w:pPr>
        <w:spacing w:after="0" w:line="240" w:lineRule="auto"/>
        <w:contextualSpacing/>
        <w:jc w:val="both"/>
        <w:rPr>
          <w:rFonts w:ascii="Times New Roman" w:hAnsi="Times New Roman" w:cs="Times New Roman"/>
          <w:b/>
          <w:sz w:val="20"/>
          <w:szCs w:val="20"/>
        </w:rPr>
      </w:pPr>
    </w:p>
    <w:p w:rsidR="00CD5662" w:rsidRPr="00304252" w:rsidRDefault="00CD5662" w:rsidP="00304252">
      <w:pPr>
        <w:spacing w:after="0"/>
        <w:jc w:val="center"/>
        <w:rPr>
          <w:rFonts w:ascii="Times New Roman" w:hAnsi="Times New Roman" w:cs="Times New Roman"/>
          <w:b/>
          <w:sz w:val="20"/>
          <w:szCs w:val="20"/>
        </w:rPr>
      </w:pPr>
      <w:r w:rsidRPr="00304252">
        <w:rPr>
          <w:rFonts w:ascii="Times New Roman" w:hAnsi="Times New Roman" w:cs="Times New Roman"/>
          <w:b/>
          <w:sz w:val="20"/>
          <w:szCs w:val="20"/>
        </w:rPr>
        <w:t>С 1 марта свидетельства о рождении стали электронными</w:t>
      </w:r>
    </w:p>
    <w:p w:rsidR="00CD5662" w:rsidRPr="00304252" w:rsidRDefault="00304252" w:rsidP="0030425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CD5662" w:rsidRPr="00304252">
        <w:rPr>
          <w:rFonts w:ascii="Times New Roman" w:hAnsi="Times New Roman" w:cs="Times New Roman"/>
          <w:sz w:val="20"/>
          <w:szCs w:val="20"/>
        </w:rPr>
        <w:t xml:space="preserve">Постановлением  Правительства  РФ  от  05.02.2022  No116  утвержден порядок </w:t>
      </w:r>
      <w:proofErr w:type="spellStart"/>
      <w:r w:rsidR="00CD5662" w:rsidRPr="00304252">
        <w:rPr>
          <w:rFonts w:ascii="Times New Roman" w:hAnsi="Times New Roman" w:cs="Times New Roman"/>
          <w:sz w:val="20"/>
          <w:szCs w:val="20"/>
        </w:rPr>
        <w:t>веденияФедерального</w:t>
      </w:r>
      <w:proofErr w:type="spellEnd"/>
      <w:r w:rsidR="00CD5662" w:rsidRPr="00304252">
        <w:rPr>
          <w:rFonts w:ascii="Times New Roman" w:hAnsi="Times New Roman" w:cs="Times New Roman"/>
          <w:sz w:val="20"/>
          <w:szCs w:val="20"/>
        </w:rPr>
        <w:t xml:space="preserve"> реестра медицинских документов о рождении в электронной форме: свидетельства о рождении, сведения о новорождённом и  его  матери,  внесении  изменений  или  исправлений  в  записи  актов  о </w:t>
      </w:r>
      <w:proofErr w:type="spellStart"/>
      <w:r w:rsidR="00CD5662" w:rsidRPr="00304252">
        <w:rPr>
          <w:rFonts w:ascii="Times New Roman" w:hAnsi="Times New Roman" w:cs="Times New Roman"/>
          <w:sz w:val="20"/>
          <w:szCs w:val="20"/>
        </w:rPr>
        <w:t>рождении</w:t>
      </w:r>
      <w:proofErr w:type="gramStart"/>
      <w:r w:rsidR="00CD5662" w:rsidRPr="00304252">
        <w:rPr>
          <w:rFonts w:ascii="Times New Roman" w:hAnsi="Times New Roman" w:cs="Times New Roman"/>
          <w:sz w:val="20"/>
          <w:szCs w:val="20"/>
        </w:rPr>
        <w:t>.Т</w:t>
      </w:r>
      <w:proofErr w:type="gramEnd"/>
      <w:r w:rsidR="00CD5662" w:rsidRPr="00304252">
        <w:rPr>
          <w:rFonts w:ascii="Times New Roman" w:hAnsi="Times New Roman" w:cs="Times New Roman"/>
          <w:sz w:val="20"/>
          <w:szCs w:val="20"/>
        </w:rPr>
        <w:t>аким</w:t>
      </w:r>
      <w:proofErr w:type="spellEnd"/>
      <w:r w:rsidR="00CD5662" w:rsidRPr="00304252">
        <w:rPr>
          <w:rFonts w:ascii="Times New Roman" w:hAnsi="Times New Roman" w:cs="Times New Roman"/>
          <w:sz w:val="20"/>
          <w:szCs w:val="20"/>
        </w:rPr>
        <w:t xml:space="preserve">  образом,  формирование  свидетельств  о  рождении  в электронном формате станет обязательным. Обязанность по ведению Реестра возложена на Минздрав России.</w:t>
      </w:r>
    </w:p>
    <w:p w:rsidR="00CD5662" w:rsidRPr="00304252" w:rsidRDefault="00CD5662"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Об уголовной ответственности за жестокое обращение с детьми.</w:t>
      </w:r>
    </w:p>
    <w:p w:rsidR="00CD5662" w:rsidRPr="00304252" w:rsidRDefault="00CD5662" w:rsidP="00304252">
      <w:pPr>
        <w:spacing w:after="0"/>
        <w:jc w:val="center"/>
        <w:rPr>
          <w:rFonts w:ascii="Times New Roman" w:hAnsi="Times New Roman" w:cs="Times New Roman"/>
          <w:sz w:val="20"/>
          <w:szCs w:val="20"/>
        </w:rPr>
      </w:pPr>
    </w:p>
    <w:p w:rsidR="00CD5662" w:rsidRPr="00304252" w:rsidRDefault="00CD5662" w:rsidP="00304252">
      <w:pPr>
        <w:spacing w:after="0"/>
        <w:ind w:firstLine="709"/>
        <w:jc w:val="both"/>
        <w:rPr>
          <w:rFonts w:ascii="Times New Roman" w:hAnsi="Times New Roman" w:cs="Times New Roman"/>
          <w:b/>
          <w:sz w:val="20"/>
          <w:szCs w:val="20"/>
        </w:rPr>
      </w:pPr>
      <w:r w:rsidRPr="00304252">
        <w:rPr>
          <w:rFonts w:ascii="Times New Roman" w:hAnsi="Times New Roman" w:cs="Times New Roman"/>
          <w:b/>
          <w:sz w:val="20"/>
          <w:szCs w:val="20"/>
        </w:rPr>
        <w:t xml:space="preserve">Прокуратура </w:t>
      </w:r>
      <w:proofErr w:type="spellStart"/>
      <w:r w:rsidRPr="00304252">
        <w:rPr>
          <w:rFonts w:ascii="Times New Roman" w:hAnsi="Times New Roman" w:cs="Times New Roman"/>
          <w:b/>
          <w:sz w:val="20"/>
          <w:szCs w:val="20"/>
        </w:rPr>
        <w:t>Ибресинского</w:t>
      </w:r>
      <w:proofErr w:type="spellEnd"/>
      <w:r w:rsidRPr="00304252">
        <w:rPr>
          <w:rFonts w:ascii="Times New Roman" w:hAnsi="Times New Roman" w:cs="Times New Roman"/>
          <w:b/>
          <w:sz w:val="20"/>
          <w:szCs w:val="20"/>
        </w:rPr>
        <w:t xml:space="preserve"> района предупреждает об уголовной ответственности за жестокое обращение с детьми.</w:t>
      </w:r>
    </w:p>
    <w:p w:rsidR="00CD5662" w:rsidRPr="00304252" w:rsidRDefault="00CD5662"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Жестокое обращение, сопряженное с невыполнением обязанностей по воспитанию  ребенка  запрещено  законом  под  угрозой  наказания,  то  есть является преступлением, предусмотренным статьей 156 Уголовного кодекса Российской Федерации.</w:t>
      </w:r>
    </w:p>
    <w:p w:rsidR="00CD5662" w:rsidRPr="00304252" w:rsidRDefault="00CD5662" w:rsidP="00304252">
      <w:pPr>
        <w:spacing w:after="0"/>
        <w:ind w:firstLine="709"/>
        <w:jc w:val="both"/>
        <w:rPr>
          <w:rFonts w:ascii="Times New Roman" w:hAnsi="Times New Roman" w:cs="Times New Roman"/>
          <w:sz w:val="20"/>
          <w:szCs w:val="20"/>
        </w:rPr>
      </w:pPr>
      <w:proofErr w:type="gramStart"/>
      <w:r w:rsidRPr="00304252">
        <w:rPr>
          <w:rFonts w:ascii="Times New Roman" w:hAnsi="Times New Roman" w:cs="Times New Roman"/>
          <w:sz w:val="20"/>
          <w:szCs w:val="20"/>
        </w:rPr>
        <w:t>Под  жестоким  обращением  следует  понимать  невыполнение  или ненадлежащее  выполнение  обязанностей  по  воспитанию  ребенка, совершенное  как  путем  действия,  так  и  путем  бездействия,  которое  по своему характеру или причиняемым последствиям носит жестокий характер, например: лишение питания, обуви и одежды, грубое нарушение режима дня, обусловленного   психофизиологическими   потребностями   ребенка определенного возраста, лишение сна и отдыха, невыполнение элементарных гигиенических норм, невыполнение рекомендаций и предписаний врача</w:t>
      </w:r>
      <w:proofErr w:type="gramEnd"/>
      <w:r w:rsidRPr="00304252">
        <w:rPr>
          <w:rFonts w:ascii="Times New Roman" w:hAnsi="Times New Roman" w:cs="Times New Roman"/>
          <w:sz w:val="20"/>
          <w:szCs w:val="20"/>
        </w:rPr>
        <w:t xml:space="preserve"> по профилактике  заболеваний  и  лечению  ребенка,  отказ  или  уклонение  от оказания необходимой медицинской помощи ребенку и другое.</w:t>
      </w:r>
    </w:p>
    <w:p w:rsidR="00CD5662" w:rsidRPr="00304252" w:rsidRDefault="00CD5662"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Кроме того, жестоким обращением будут активные действия, идущие в разрез с основными обязанностями субъекта воспитательной деятельности, которые состоят в применении к ребенку недопустимых методов воспитания и обращения, включающих в себя все виды физического, психического и сексуального насилия над детьми.</w:t>
      </w:r>
    </w:p>
    <w:p w:rsidR="00CD5662" w:rsidRPr="00304252" w:rsidRDefault="00CD5662"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Помните, что для признания лица виновным в совершении указанного преступления наступления каких-либо последствий не требуется.</w:t>
      </w:r>
    </w:p>
    <w:p w:rsidR="00CD5662" w:rsidRPr="00304252" w:rsidRDefault="00CD5662"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Субъектами данного преступления являются родители, усыновители, приемные родители, опекуны и попечители, лица, обязанные воспитывать несовершеннолетнего в процессе осуществления надзора за ним в силу своих профессиональных обязанностей.</w:t>
      </w:r>
    </w:p>
    <w:p w:rsidR="00CD5662" w:rsidRPr="00304252" w:rsidRDefault="00CD5662"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За совершение данного преступления предусмотрено наказание вплоть до трех лет лишения свободы.</w:t>
      </w:r>
    </w:p>
    <w:p w:rsidR="00CD5662" w:rsidRPr="00304252" w:rsidRDefault="00CD5662"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Важно знать, что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CD5662" w:rsidRDefault="00CD5662"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В случае наличия признаков уголовно наказуемых деяний, необходимо обращаться  в  правоохранительные  органы – полицию,  Следственный комитет, прокуратуру.</w:t>
      </w:r>
    </w:p>
    <w:p w:rsidR="00304252" w:rsidRDefault="00304252" w:rsidP="00304252">
      <w:pPr>
        <w:spacing w:after="0"/>
        <w:ind w:firstLine="709"/>
        <w:jc w:val="both"/>
        <w:rPr>
          <w:rFonts w:ascii="Times New Roman" w:hAnsi="Times New Roman" w:cs="Times New Roman"/>
          <w:sz w:val="20"/>
          <w:szCs w:val="20"/>
        </w:rPr>
      </w:pPr>
    </w:p>
    <w:p w:rsidR="00304252" w:rsidRDefault="00304252" w:rsidP="00304252">
      <w:pPr>
        <w:spacing w:after="0"/>
        <w:ind w:firstLine="709"/>
        <w:jc w:val="both"/>
        <w:rPr>
          <w:rFonts w:ascii="Times New Roman" w:hAnsi="Times New Roman" w:cs="Times New Roman"/>
          <w:sz w:val="20"/>
          <w:szCs w:val="20"/>
        </w:rPr>
      </w:pPr>
    </w:p>
    <w:p w:rsidR="00304252" w:rsidRPr="00304252" w:rsidRDefault="00304252" w:rsidP="00304252">
      <w:pPr>
        <w:spacing w:after="0"/>
        <w:ind w:firstLine="709"/>
        <w:jc w:val="both"/>
        <w:rPr>
          <w:rFonts w:ascii="Times New Roman" w:hAnsi="Times New Roman" w:cs="Times New Roman"/>
          <w:sz w:val="20"/>
          <w:szCs w:val="20"/>
        </w:rPr>
      </w:pPr>
    </w:p>
    <w:p w:rsidR="00CD5662" w:rsidRPr="00304252" w:rsidRDefault="00CD5662" w:rsidP="00304252">
      <w:pPr>
        <w:spacing w:after="0"/>
        <w:ind w:firstLine="709"/>
        <w:jc w:val="both"/>
        <w:rPr>
          <w:rFonts w:ascii="Times New Roman" w:hAnsi="Times New Roman" w:cs="Times New Roman"/>
          <w:sz w:val="20"/>
          <w:szCs w:val="20"/>
        </w:rPr>
      </w:pPr>
    </w:p>
    <w:p w:rsidR="00471FB5" w:rsidRPr="00304252" w:rsidRDefault="00471FB5" w:rsidP="00304252">
      <w:pPr>
        <w:spacing w:after="0" w:line="240" w:lineRule="auto"/>
        <w:jc w:val="center"/>
        <w:rPr>
          <w:rFonts w:ascii="Times New Roman" w:hAnsi="Times New Roman" w:cs="Times New Roman"/>
          <w:sz w:val="20"/>
          <w:szCs w:val="20"/>
        </w:rPr>
      </w:pPr>
      <w:r w:rsidRPr="00304252">
        <w:rPr>
          <w:rFonts w:ascii="Times New Roman" w:hAnsi="Times New Roman" w:cs="Times New Roman"/>
          <w:b/>
          <w:sz w:val="20"/>
          <w:szCs w:val="20"/>
        </w:rPr>
        <w:lastRenderedPageBreak/>
        <w:t>Необоснованный отказ в приеме на работу или увольнение беременной женщины - уголовно наказуемое</w:t>
      </w:r>
      <w:r w:rsidRPr="00304252">
        <w:rPr>
          <w:rFonts w:ascii="Times New Roman" w:hAnsi="Times New Roman" w:cs="Times New Roman"/>
          <w:sz w:val="20"/>
          <w:szCs w:val="20"/>
        </w:rPr>
        <w:t xml:space="preserve"> деяние</w:t>
      </w:r>
    </w:p>
    <w:p w:rsidR="00471FB5" w:rsidRPr="00304252" w:rsidRDefault="00304252" w:rsidP="003042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71FB5" w:rsidRPr="00304252">
        <w:rPr>
          <w:rFonts w:ascii="Times New Roman" w:hAnsi="Times New Roman" w:cs="Times New Roman"/>
          <w:sz w:val="20"/>
          <w:szCs w:val="20"/>
        </w:rPr>
        <w:t>Конституция Российской Федерации гарантирует равенство в правах и свободах граждан и равенство в возможностях для их реализации, право свободно распоряжаться своими способностями к труду, обеспечение защиты интересов материнства и детства.</w:t>
      </w:r>
    </w:p>
    <w:p w:rsidR="00471FB5" w:rsidRPr="00304252" w:rsidRDefault="00471FB5"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Вместе с тем, беременным женщинам и женщинам, имеющим ребенка в возрасте до трех лет, как нуждающимся в особой социальной защищенности, предоставляется повышенная защита со стороны государства, в том числе, в сфере реализации трудовых отношений.</w:t>
      </w:r>
    </w:p>
    <w:p w:rsidR="00471FB5" w:rsidRPr="00304252" w:rsidRDefault="00471FB5"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В случае необоснованного отказа в приеме на работу или необоснованного увольнения женщины по мотивам ее беременности, а равно необоснованного отказа в приеме на работу или необоснованного увольнения с работы женщины, имеющей детей в возрасте до трех лет, по этим мотивам, наступает уголовная ответственность по статье 145 Уголовного кодекса Российской Федерации.</w:t>
      </w:r>
    </w:p>
    <w:p w:rsidR="00471FB5" w:rsidRPr="00304252" w:rsidRDefault="00471FB5"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В качестве потерпевшей может выступать не только биологическая мать, но и женщина, имеющая детей в возрасте до трех лет в случае их усыновления (удочерения)</w:t>
      </w:r>
      <w:proofErr w:type="gramStart"/>
      <w:r w:rsidRPr="00304252">
        <w:rPr>
          <w:rFonts w:ascii="Times New Roman" w:hAnsi="Times New Roman" w:cs="Times New Roman"/>
          <w:sz w:val="20"/>
          <w:szCs w:val="20"/>
        </w:rPr>
        <w:t>.З</w:t>
      </w:r>
      <w:proofErr w:type="gramEnd"/>
      <w:r w:rsidRPr="00304252">
        <w:rPr>
          <w:rFonts w:ascii="Times New Roman" w:hAnsi="Times New Roman" w:cs="Times New Roman"/>
          <w:sz w:val="20"/>
          <w:szCs w:val="20"/>
        </w:rPr>
        <w:t>а совершение указанного преступления предусмотрено уголовное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трехсот шестидесяти часов.</w:t>
      </w:r>
    </w:p>
    <w:p w:rsidR="00471FB5" w:rsidRPr="00304252" w:rsidRDefault="00471FB5" w:rsidP="00304252">
      <w:pPr>
        <w:spacing w:after="0" w:line="240" w:lineRule="auto"/>
        <w:ind w:firstLine="709"/>
        <w:jc w:val="both"/>
        <w:rPr>
          <w:rFonts w:ascii="Times New Roman" w:hAnsi="Times New Roman" w:cs="Times New Roman"/>
          <w:sz w:val="20"/>
          <w:szCs w:val="20"/>
        </w:rPr>
      </w:pPr>
    </w:p>
    <w:p w:rsidR="00471FB5" w:rsidRPr="00304252" w:rsidRDefault="00471FB5" w:rsidP="00304252">
      <w:pPr>
        <w:spacing w:after="0" w:line="240" w:lineRule="auto"/>
        <w:jc w:val="center"/>
        <w:rPr>
          <w:rFonts w:ascii="Times New Roman" w:hAnsi="Times New Roman" w:cs="Times New Roman"/>
          <w:b/>
          <w:sz w:val="20"/>
          <w:szCs w:val="20"/>
        </w:rPr>
      </w:pPr>
      <w:r w:rsidRPr="00304252">
        <w:rPr>
          <w:rFonts w:ascii="Times New Roman" w:hAnsi="Times New Roman" w:cs="Times New Roman"/>
          <w:b/>
          <w:sz w:val="20"/>
          <w:szCs w:val="20"/>
        </w:rPr>
        <w:t>Правительство расширило программу бесплатного переобучения граждан</w:t>
      </w:r>
    </w:p>
    <w:p w:rsidR="00471FB5" w:rsidRPr="00304252" w:rsidRDefault="006A230E" w:rsidP="006A2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71FB5" w:rsidRPr="00304252">
        <w:rPr>
          <w:rFonts w:ascii="Times New Roman" w:hAnsi="Times New Roman" w:cs="Times New Roman"/>
          <w:sz w:val="20"/>
          <w:szCs w:val="20"/>
        </w:rPr>
        <w:t xml:space="preserve">Постановлением Правительства РФ от 09.02. 2022 № 139внесеныизмененияв условия предоставления гранта в форме субсидии на реализацию мероприятий по организации профессионального </w:t>
      </w:r>
      <w:proofErr w:type="spellStart"/>
      <w:r w:rsidR="00471FB5" w:rsidRPr="00304252">
        <w:rPr>
          <w:rFonts w:ascii="Times New Roman" w:hAnsi="Times New Roman" w:cs="Times New Roman"/>
          <w:sz w:val="20"/>
          <w:szCs w:val="20"/>
        </w:rPr>
        <w:t>обученияи</w:t>
      </w:r>
      <w:proofErr w:type="spellEnd"/>
      <w:r w:rsidR="00471FB5" w:rsidRPr="00304252">
        <w:rPr>
          <w:rFonts w:ascii="Times New Roman" w:hAnsi="Times New Roman" w:cs="Times New Roman"/>
          <w:sz w:val="20"/>
          <w:szCs w:val="20"/>
        </w:rPr>
        <w:t xml:space="preserve"> дополнительного профобразования отдельных категорий </w:t>
      </w:r>
      <w:proofErr w:type="spellStart"/>
      <w:r w:rsidR="00471FB5" w:rsidRPr="00304252">
        <w:rPr>
          <w:rFonts w:ascii="Times New Roman" w:hAnsi="Times New Roman" w:cs="Times New Roman"/>
          <w:sz w:val="20"/>
          <w:szCs w:val="20"/>
        </w:rPr>
        <w:t>граждан</w:t>
      </w:r>
      <w:proofErr w:type="gramStart"/>
      <w:r w:rsidR="00471FB5" w:rsidRPr="00304252">
        <w:rPr>
          <w:rFonts w:ascii="Times New Roman" w:hAnsi="Times New Roman" w:cs="Times New Roman"/>
          <w:sz w:val="20"/>
          <w:szCs w:val="20"/>
        </w:rPr>
        <w:t>.П</w:t>
      </w:r>
      <w:proofErr w:type="gramEnd"/>
      <w:r w:rsidR="00471FB5" w:rsidRPr="00304252">
        <w:rPr>
          <w:rFonts w:ascii="Times New Roman" w:hAnsi="Times New Roman" w:cs="Times New Roman"/>
          <w:sz w:val="20"/>
          <w:szCs w:val="20"/>
        </w:rPr>
        <w:t>ройти</w:t>
      </w:r>
      <w:proofErr w:type="spellEnd"/>
      <w:r w:rsidR="00471FB5" w:rsidRPr="00304252">
        <w:rPr>
          <w:rFonts w:ascii="Times New Roman" w:hAnsi="Times New Roman" w:cs="Times New Roman"/>
          <w:sz w:val="20"/>
          <w:szCs w:val="20"/>
        </w:rPr>
        <w:t xml:space="preserve"> бесплатное обучение по наиболее востребованным профессиям смогут не только граждане старше 50 лет и женщины с маленькими детьми, но и молодые люди в возрасте до 35 лет (включительно).Стать участниками программы переобучения и дополнительного профессионального образования теперь смогут несколько категорий молодых людей. Среди них – граждане, которые после завершения обучения или службы в армии более четырёх месяцев не являются </w:t>
      </w:r>
      <w:proofErr w:type="spellStart"/>
      <w:r w:rsidR="00471FB5" w:rsidRPr="00304252">
        <w:rPr>
          <w:rFonts w:ascii="Times New Roman" w:hAnsi="Times New Roman" w:cs="Times New Roman"/>
          <w:sz w:val="20"/>
          <w:szCs w:val="20"/>
        </w:rPr>
        <w:t>занятыми,работники</w:t>
      </w:r>
      <w:proofErr w:type="spellEnd"/>
      <w:r w:rsidR="00471FB5" w:rsidRPr="00304252">
        <w:rPr>
          <w:rFonts w:ascii="Times New Roman" w:hAnsi="Times New Roman" w:cs="Times New Roman"/>
          <w:sz w:val="20"/>
          <w:szCs w:val="20"/>
        </w:rPr>
        <w:t xml:space="preserve">, находящиеся под угрозой увольнения, граждане без среднего профессионального или высшего </w:t>
      </w:r>
      <w:proofErr w:type="spellStart"/>
      <w:r w:rsidR="00471FB5" w:rsidRPr="00304252">
        <w:rPr>
          <w:rFonts w:ascii="Times New Roman" w:hAnsi="Times New Roman" w:cs="Times New Roman"/>
          <w:sz w:val="20"/>
          <w:szCs w:val="20"/>
        </w:rPr>
        <w:t>образования</w:t>
      </w:r>
      <w:proofErr w:type="gramStart"/>
      <w:r w:rsidR="00471FB5" w:rsidRPr="00304252">
        <w:rPr>
          <w:rFonts w:ascii="Times New Roman" w:hAnsi="Times New Roman" w:cs="Times New Roman"/>
          <w:sz w:val="20"/>
          <w:szCs w:val="20"/>
        </w:rPr>
        <w:t>.Б</w:t>
      </w:r>
      <w:proofErr w:type="gramEnd"/>
      <w:r w:rsidR="00471FB5" w:rsidRPr="00304252">
        <w:rPr>
          <w:rFonts w:ascii="Times New Roman" w:hAnsi="Times New Roman" w:cs="Times New Roman"/>
          <w:sz w:val="20"/>
          <w:szCs w:val="20"/>
        </w:rPr>
        <w:t>есплатное</w:t>
      </w:r>
      <w:proofErr w:type="spellEnd"/>
      <w:r w:rsidR="00471FB5" w:rsidRPr="00304252">
        <w:rPr>
          <w:rFonts w:ascii="Times New Roman" w:hAnsi="Times New Roman" w:cs="Times New Roman"/>
          <w:sz w:val="20"/>
          <w:szCs w:val="20"/>
        </w:rPr>
        <w:t xml:space="preserve"> обучение организуют АНО «Агентство развития профессионального мастерства (</w:t>
      </w:r>
      <w:proofErr w:type="spellStart"/>
      <w:r w:rsidR="00471FB5" w:rsidRPr="00304252">
        <w:rPr>
          <w:rFonts w:ascii="Times New Roman" w:hAnsi="Times New Roman" w:cs="Times New Roman"/>
          <w:sz w:val="20"/>
          <w:szCs w:val="20"/>
        </w:rPr>
        <w:t>Ворлдскиллс</w:t>
      </w:r>
      <w:proofErr w:type="spellEnd"/>
      <w:r w:rsidR="00471FB5" w:rsidRPr="00304252">
        <w:rPr>
          <w:rFonts w:ascii="Times New Roman" w:hAnsi="Times New Roman" w:cs="Times New Roman"/>
          <w:sz w:val="20"/>
          <w:szCs w:val="20"/>
        </w:rPr>
        <w:t xml:space="preserve"> Россия)», Российская академия народного хозяйства и государственной службы при Президенте Российской Федерации, Томский государственный университет.</w:t>
      </w:r>
    </w:p>
    <w:p w:rsidR="00471FB5" w:rsidRPr="00304252" w:rsidRDefault="00471FB5"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Заявки на обучение оформляются на портале «Работа в России».</w:t>
      </w:r>
    </w:p>
    <w:p w:rsidR="00471FB5" w:rsidRPr="00304252" w:rsidRDefault="00471FB5" w:rsidP="00304252">
      <w:pPr>
        <w:spacing w:after="0"/>
        <w:ind w:firstLine="709"/>
        <w:jc w:val="both"/>
        <w:rPr>
          <w:rFonts w:ascii="Times New Roman" w:hAnsi="Times New Roman" w:cs="Times New Roman"/>
          <w:sz w:val="20"/>
          <w:szCs w:val="20"/>
        </w:rPr>
      </w:pPr>
    </w:p>
    <w:p w:rsidR="00471FB5" w:rsidRPr="006A230E" w:rsidRDefault="00471FB5" w:rsidP="00304252">
      <w:pPr>
        <w:spacing w:after="0"/>
        <w:jc w:val="center"/>
        <w:rPr>
          <w:rFonts w:ascii="Times New Roman" w:hAnsi="Times New Roman" w:cs="Times New Roman"/>
          <w:b/>
          <w:sz w:val="20"/>
          <w:szCs w:val="20"/>
        </w:rPr>
      </w:pPr>
      <w:r w:rsidRPr="006A230E">
        <w:rPr>
          <w:rFonts w:ascii="Times New Roman" w:hAnsi="Times New Roman" w:cs="Times New Roman"/>
          <w:b/>
          <w:sz w:val="20"/>
          <w:szCs w:val="20"/>
        </w:rPr>
        <w:t>О Национальном плане противодействия коррупции на 2021-2024 годы.</w:t>
      </w:r>
    </w:p>
    <w:p w:rsidR="00471FB5" w:rsidRPr="00304252" w:rsidRDefault="006A230E" w:rsidP="006A230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471FB5" w:rsidRPr="00304252">
        <w:rPr>
          <w:rFonts w:ascii="Times New Roman" w:hAnsi="Times New Roman" w:cs="Times New Roman"/>
          <w:sz w:val="20"/>
          <w:szCs w:val="20"/>
        </w:rPr>
        <w:t xml:space="preserve">Указом  Президента  Российской  Федерации  от  16.08.2021  №  478 утвержден Национальный план противодействия коррупции на 2021-2024 </w:t>
      </w:r>
      <w:proofErr w:type="spellStart"/>
      <w:r w:rsidR="00471FB5" w:rsidRPr="00304252">
        <w:rPr>
          <w:rFonts w:ascii="Times New Roman" w:hAnsi="Times New Roman" w:cs="Times New Roman"/>
          <w:sz w:val="20"/>
          <w:szCs w:val="20"/>
        </w:rPr>
        <w:t>годы</w:t>
      </w:r>
      <w:proofErr w:type="gramStart"/>
      <w:r w:rsidR="00471FB5" w:rsidRPr="00304252">
        <w:rPr>
          <w:rFonts w:ascii="Times New Roman" w:hAnsi="Times New Roman" w:cs="Times New Roman"/>
          <w:sz w:val="20"/>
          <w:szCs w:val="20"/>
        </w:rPr>
        <w:t>.Т</w:t>
      </w:r>
      <w:proofErr w:type="gramEnd"/>
      <w:r w:rsidR="00471FB5" w:rsidRPr="00304252">
        <w:rPr>
          <w:rFonts w:ascii="Times New Roman" w:hAnsi="Times New Roman" w:cs="Times New Roman"/>
          <w:sz w:val="20"/>
          <w:szCs w:val="20"/>
        </w:rPr>
        <w:t>ак</w:t>
      </w:r>
      <w:proofErr w:type="spellEnd"/>
      <w:r w:rsidR="00471FB5" w:rsidRPr="00304252">
        <w:rPr>
          <w:rFonts w:ascii="Times New Roman" w:hAnsi="Times New Roman" w:cs="Times New Roman"/>
          <w:sz w:val="20"/>
          <w:szCs w:val="20"/>
        </w:rPr>
        <w:t xml:space="preserve">, планом предусмотрено дальнейшее совершенствование системы запретов,  ограничений  и  обязанностей,  установленных  в  целях противодействия коррупции, в том числе, вопросов возложения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  </w:t>
      </w:r>
      <w:proofErr w:type="gramStart"/>
      <w:r w:rsidR="00471FB5" w:rsidRPr="00304252">
        <w:rPr>
          <w:rFonts w:ascii="Times New Roman" w:hAnsi="Times New Roman" w:cs="Times New Roman"/>
          <w:sz w:val="20"/>
          <w:szCs w:val="20"/>
        </w:rPr>
        <w:t>распространения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 противодействии коррупции» и другими федеральными законами для лиц, замещающих государственные должности субъектов Российской Федерации, возложения  обязанностей  соблюдения  системы  запретов,  ограничений  и обязанностей, установленных в целях противодействия коррупции, на лиц, временно  исполняющих  обязанности</w:t>
      </w:r>
      <w:proofErr w:type="gramEnd"/>
      <w:r w:rsidR="00471FB5" w:rsidRPr="00304252">
        <w:rPr>
          <w:rFonts w:ascii="Times New Roman" w:hAnsi="Times New Roman" w:cs="Times New Roman"/>
          <w:sz w:val="20"/>
          <w:szCs w:val="20"/>
        </w:rPr>
        <w:t xml:space="preserve">  по  должности,  замещение  которой предполагает соблюдение этих </w:t>
      </w:r>
      <w:proofErr w:type="spellStart"/>
      <w:r w:rsidR="00471FB5" w:rsidRPr="00304252">
        <w:rPr>
          <w:rFonts w:ascii="Times New Roman" w:hAnsi="Times New Roman" w:cs="Times New Roman"/>
          <w:sz w:val="20"/>
          <w:szCs w:val="20"/>
        </w:rPr>
        <w:t>стандартов</w:t>
      </w:r>
      <w:proofErr w:type="gramStart"/>
      <w:r w:rsidR="00471FB5" w:rsidRPr="00304252">
        <w:rPr>
          <w:rFonts w:ascii="Times New Roman" w:hAnsi="Times New Roman" w:cs="Times New Roman"/>
          <w:sz w:val="20"/>
          <w:szCs w:val="20"/>
        </w:rPr>
        <w:t>.Р</w:t>
      </w:r>
      <w:proofErr w:type="gramEnd"/>
      <w:r w:rsidR="00471FB5" w:rsidRPr="00304252">
        <w:rPr>
          <w:rFonts w:ascii="Times New Roman" w:hAnsi="Times New Roman" w:cs="Times New Roman"/>
          <w:sz w:val="20"/>
          <w:szCs w:val="20"/>
        </w:rPr>
        <w:t>ассматриваемым</w:t>
      </w:r>
      <w:proofErr w:type="spellEnd"/>
      <w:r w:rsidR="00471FB5" w:rsidRPr="00304252">
        <w:rPr>
          <w:rFonts w:ascii="Times New Roman" w:hAnsi="Times New Roman" w:cs="Times New Roman"/>
          <w:sz w:val="20"/>
          <w:szCs w:val="20"/>
        </w:rPr>
        <w:t xml:space="preserve">  планом  предполагается  разработка  запретов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 76.2 Уголовного кодекса Российской Федерации, а также установление ограничений, </w:t>
      </w:r>
      <w:proofErr w:type="gramStart"/>
      <w:r w:rsidR="00471FB5" w:rsidRPr="00304252">
        <w:rPr>
          <w:rFonts w:ascii="Times New Roman" w:hAnsi="Times New Roman" w:cs="Times New Roman"/>
          <w:sz w:val="20"/>
          <w:szCs w:val="20"/>
        </w:rPr>
        <w:t>связанных с назначением на должности  руководителя  государственного  (муниципального)  унитарного предприятия</w:t>
      </w:r>
      <w:proofErr w:type="gramEnd"/>
      <w:r w:rsidR="00471FB5" w:rsidRPr="00304252">
        <w:rPr>
          <w:rFonts w:ascii="Times New Roman" w:hAnsi="Times New Roman" w:cs="Times New Roman"/>
          <w:sz w:val="20"/>
          <w:szCs w:val="20"/>
        </w:rPr>
        <w:t xml:space="preserve">  или  государственного  (муниципального)  учреждения  лиц, имеющих  неснятую  (непогашенную)  судимость  или  подвергавшихся уголовному  преследованию  за  совершение  преступлений  коррупционной направленности, ограничений, связанных с замещением указанным лицом такой </w:t>
      </w:r>
      <w:proofErr w:type="spellStart"/>
      <w:r w:rsidR="00471FB5" w:rsidRPr="00304252">
        <w:rPr>
          <w:rFonts w:ascii="Times New Roman" w:hAnsi="Times New Roman" w:cs="Times New Roman"/>
          <w:sz w:val="20"/>
          <w:szCs w:val="20"/>
        </w:rPr>
        <w:t>должности</w:t>
      </w:r>
      <w:proofErr w:type="gramStart"/>
      <w:r w:rsidR="00471FB5" w:rsidRPr="00304252">
        <w:rPr>
          <w:rFonts w:ascii="Times New Roman" w:hAnsi="Times New Roman" w:cs="Times New Roman"/>
          <w:sz w:val="20"/>
          <w:szCs w:val="20"/>
        </w:rPr>
        <w:t>.К</w:t>
      </w:r>
      <w:proofErr w:type="gramEnd"/>
      <w:r w:rsidR="00471FB5" w:rsidRPr="00304252">
        <w:rPr>
          <w:rFonts w:ascii="Times New Roman" w:hAnsi="Times New Roman" w:cs="Times New Roman"/>
          <w:sz w:val="20"/>
          <w:szCs w:val="20"/>
        </w:rPr>
        <w:t>роме</w:t>
      </w:r>
      <w:proofErr w:type="spellEnd"/>
      <w:r w:rsidR="00471FB5" w:rsidRPr="00304252">
        <w:rPr>
          <w:rFonts w:ascii="Times New Roman" w:hAnsi="Times New Roman" w:cs="Times New Roman"/>
          <w:sz w:val="20"/>
          <w:szCs w:val="20"/>
        </w:rPr>
        <w:t xml:space="preserve">  того,  в  </w:t>
      </w:r>
      <w:r w:rsidR="00471FB5" w:rsidRPr="00304252">
        <w:rPr>
          <w:rFonts w:ascii="Times New Roman" w:hAnsi="Times New Roman" w:cs="Times New Roman"/>
          <w:sz w:val="20"/>
          <w:szCs w:val="20"/>
        </w:rPr>
        <w:lastRenderedPageBreak/>
        <w:t xml:space="preserve">рамках  повышения  эффективности  мер  по предотвращению  и  урегулированию  конфликта  интересов  планируется дополнение перечня граждан и юридических лиц, с которыми может быть </w:t>
      </w:r>
      <w:proofErr w:type="gramStart"/>
      <w:r w:rsidR="00471FB5" w:rsidRPr="00304252">
        <w:rPr>
          <w:rFonts w:ascii="Times New Roman" w:hAnsi="Times New Roman" w:cs="Times New Roman"/>
          <w:sz w:val="20"/>
          <w:szCs w:val="20"/>
        </w:rPr>
        <w:t>связана личная заинтересованность лица, на которое возложена обязанность принимать  меры  по  предотвращению  и  урегулированию  конфликта интересов, бывшим супругом (бывшей супругой) этого лица, юридическими лицами, в которых это лицо занимало руководящие должности, учредителем или контролирующим лицом которых это лицо являлось.</w:t>
      </w:r>
      <w:proofErr w:type="gramEnd"/>
      <w:r w:rsidR="00471FB5" w:rsidRPr="00304252">
        <w:rPr>
          <w:rFonts w:ascii="Times New Roman" w:hAnsi="Times New Roman" w:cs="Times New Roman"/>
          <w:sz w:val="20"/>
          <w:szCs w:val="20"/>
        </w:rPr>
        <w:t xml:space="preserve"> Национальным планом предусмотрено совершенствование уголовного и уголовно-процессуального законодательства в части ответственности лиц за  незаконное  участие  в  предпринимательской  деятельности,  за посредничество во взяточничестве и коммерческом подкупе.</w:t>
      </w:r>
    </w:p>
    <w:p w:rsidR="00471FB5" w:rsidRPr="00304252" w:rsidRDefault="00471FB5"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Реализация вышеуказанных мероприятий возложена на Правительство Российской  Федерации,  федеральные  органы  исполнительной  власти, Генеральную  прокуратуру  Российской  Федерации  во  взаимодействии  с иными органами исполнительной и судебной власти.</w:t>
      </w:r>
    </w:p>
    <w:p w:rsidR="00471FB5" w:rsidRPr="00304252" w:rsidRDefault="00471FB5" w:rsidP="00304252">
      <w:pPr>
        <w:spacing w:after="0"/>
        <w:ind w:firstLine="709"/>
        <w:jc w:val="right"/>
        <w:rPr>
          <w:rFonts w:ascii="Times New Roman" w:hAnsi="Times New Roman" w:cs="Times New Roman"/>
          <w:sz w:val="20"/>
          <w:szCs w:val="20"/>
        </w:rPr>
      </w:pPr>
    </w:p>
    <w:p w:rsidR="0056119A" w:rsidRPr="006A230E" w:rsidRDefault="0056119A" w:rsidP="006A230E">
      <w:pPr>
        <w:spacing w:after="0" w:line="240" w:lineRule="auto"/>
        <w:ind w:firstLine="709"/>
        <w:jc w:val="center"/>
        <w:rPr>
          <w:rFonts w:ascii="Times New Roman" w:hAnsi="Times New Roman" w:cs="Times New Roman"/>
          <w:b/>
          <w:sz w:val="20"/>
          <w:szCs w:val="20"/>
        </w:rPr>
      </w:pPr>
      <w:r w:rsidRPr="006A230E">
        <w:rPr>
          <w:rFonts w:ascii="Times New Roman" w:hAnsi="Times New Roman" w:cs="Times New Roman"/>
          <w:b/>
          <w:sz w:val="20"/>
          <w:szCs w:val="20"/>
        </w:rPr>
        <w:t>С 1 января 2022 года организации общественного питания получили льготу по страховым взносам»</w:t>
      </w:r>
    </w:p>
    <w:p w:rsidR="0056119A" w:rsidRPr="00304252" w:rsidRDefault="006A230E" w:rsidP="006A2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6119A" w:rsidRPr="00304252">
        <w:rPr>
          <w:rFonts w:ascii="Times New Roman" w:hAnsi="Times New Roman" w:cs="Times New Roman"/>
          <w:sz w:val="20"/>
          <w:szCs w:val="20"/>
        </w:rPr>
        <w:t>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начиная  с  2021  года применяются следующие пониженные тарифы страховых взносов:1) на обязательное пенсионное страхование:- в пределах установленной предельной величины базы для исчисления страховых взносов по данному виду страхования</w:t>
      </w:r>
      <w:proofErr w:type="gramEnd"/>
      <w:r w:rsidR="0056119A" w:rsidRPr="00304252">
        <w:rPr>
          <w:rFonts w:ascii="Times New Roman" w:hAnsi="Times New Roman" w:cs="Times New Roman"/>
          <w:sz w:val="20"/>
          <w:szCs w:val="20"/>
        </w:rPr>
        <w:t xml:space="preserve"> - 10,0 процента;- свыше  установленной  предельной  величины  базы  для  исчисления страховых взносов по данному виду страхования - 10,0 процента;2)  на  обязательное  социальное  страхование  на  случай  временной нетрудоспособности и в связи с материнством - 0,0 процента;3) на обязательное медицинское страхование - 5,0 процента.</w:t>
      </w:r>
    </w:p>
    <w:p w:rsidR="0056119A" w:rsidRPr="00304252" w:rsidRDefault="0056119A" w:rsidP="00304252">
      <w:pPr>
        <w:spacing w:after="0"/>
        <w:ind w:firstLine="709"/>
        <w:jc w:val="both"/>
        <w:rPr>
          <w:rFonts w:ascii="Times New Roman" w:hAnsi="Times New Roman" w:cs="Times New Roman"/>
          <w:sz w:val="20"/>
          <w:szCs w:val="20"/>
        </w:rPr>
      </w:pPr>
      <w:proofErr w:type="gramStart"/>
      <w:r w:rsidRPr="00304252">
        <w:rPr>
          <w:rFonts w:ascii="Times New Roman" w:hAnsi="Times New Roman" w:cs="Times New Roman"/>
          <w:sz w:val="20"/>
          <w:szCs w:val="20"/>
        </w:rPr>
        <w:t>Для  плательщиков,  основным  видом  экономической  деятельности которых  является  деятельность  по  предоставлению  продуктов  питания  и напитков  и  среднесписочная  численность  работников  которых  превышает 250  человек  по  данным  единого  реестра  субъектов  малого  и  среднего предпринимательства, пониженные тарифы страховых взносов, применяются в  случае  оказания  услуг  общественного  питания  через  объекты общественного  питания  (рестораны,  кафе,  бары,  предприятия  быстрого обслуживания, буфеты, кафетерии, столовые, закусочные, отделы кулинарии при</w:t>
      </w:r>
      <w:proofErr w:type="gramEnd"/>
      <w:r w:rsidRPr="00304252">
        <w:rPr>
          <w:rFonts w:ascii="Times New Roman" w:hAnsi="Times New Roman" w:cs="Times New Roman"/>
          <w:sz w:val="20"/>
          <w:szCs w:val="20"/>
        </w:rPr>
        <w:t xml:space="preserve">  указанных  объектах  и  иные  аналогичные  объекты  общественного питания), а также услуг общественного питания вне объектов общественного питания по месту, выбранному заказчиком (выездное обслуживание)</w:t>
      </w:r>
      <w:proofErr w:type="gramStart"/>
      <w:r w:rsidRPr="00304252">
        <w:rPr>
          <w:rFonts w:ascii="Times New Roman" w:hAnsi="Times New Roman" w:cs="Times New Roman"/>
          <w:sz w:val="20"/>
          <w:szCs w:val="20"/>
        </w:rPr>
        <w:t>.У</w:t>
      </w:r>
      <w:proofErr w:type="gramEnd"/>
      <w:r w:rsidRPr="00304252">
        <w:rPr>
          <w:rFonts w:ascii="Times New Roman" w:hAnsi="Times New Roman" w:cs="Times New Roman"/>
          <w:sz w:val="20"/>
          <w:szCs w:val="20"/>
        </w:rPr>
        <w:t>слугами  общественного  питания  в  целях  освобождения  от налогообложения не признается реализация:- продукции общественного питания отделами кулинарии организаций и индивидуальных предпринимателей розничной торговли;- продукции   общественного   питания   организациями   и индивидуальными предпринимателями,  осуществляющими  заготовочную  и иную  аналогичную  деятельность,  организациям  и  индивидуальным предпринимателям,   оказывающим   услуги   общественного   питания, предусмотренные  настоящим  подпунктом,  либо  занимающимся  розничной торговлей.</w:t>
      </w:r>
    </w:p>
    <w:p w:rsidR="0056119A" w:rsidRPr="00304252" w:rsidRDefault="0056119A"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 xml:space="preserve">Деятельность  по  предоставлению  продуктов  питания  и  напитков признается основным видом экономической деятельности, если ОКВЭД 56 "Деятельность по предоставлению продуктов питания и напитков" раздела I "Деятельность   гостиниц   и   предприятий   общественного   питания" Общероссийского классификатора видов экономической деятельности указан в  качестве  основного  вида  экономической  деятельности  плательщика  в Един  </w:t>
      </w:r>
      <w:proofErr w:type="spellStart"/>
      <w:r w:rsidRPr="00304252">
        <w:rPr>
          <w:rFonts w:ascii="Times New Roman" w:hAnsi="Times New Roman" w:cs="Times New Roman"/>
          <w:sz w:val="20"/>
          <w:szCs w:val="20"/>
        </w:rPr>
        <w:t>ом</w:t>
      </w:r>
      <w:proofErr w:type="spellEnd"/>
      <w:r w:rsidRPr="00304252">
        <w:rPr>
          <w:rFonts w:ascii="Times New Roman" w:hAnsi="Times New Roman" w:cs="Times New Roman"/>
          <w:sz w:val="20"/>
          <w:szCs w:val="20"/>
        </w:rPr>
        <w:t xml:space="preserve">  государственном  реестре  юридических  </w:t>
      </w:r>
      <w:proofErr w:type="gramStart"/>
      <w:r w:rsidRPr="00304252">
        <w:rPr>
          <w:rFonts w:ascii="Times New Roman" w:hAnsi="Times New Roman" w:cs="Times New Roman"/>
          <w:sz w:val="20"/>
          <w:szCs w:val="20"/>
        </w:rPr>
        <w:t>лиц</w:t>
      </w:r>
      <w:proofErr w:type="gramEnd"/>
      <w:r w:rsidRPr="00304252">
        <w:rPr>
          <w:rFonts w:ascii="Times New Roman" w:hAnsi="Times New Roman" w:cs="Times New Roman"/>
          <w:sz w:val="20"/>
          <w:szCs w:val="20"/>
        </w:rPr>
        <w:t xml:space="preserve">  либо  Едином государственном реестре индивидуальных предпринимателей по состоянию на  1-е  число  месяца  внесения  сведений  о  юридических  лицах  и индивидуальных  предпринимателях  в  единый  реестр  субъектов  малого  и среднего предпринимательства.</w:t>
      </w:r>
    </w:p>
    <w:p w:rsidR="0056119A" w:rsidRPr="00304252" w:rsidRDefault="0056119A"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В случае несоответствия плательщика хотя бы одному из применимых к  нему  условий,  установленных  подпунктом  38  пункта  3  статьи  149 Налогового  кодекса  Российской  Федерации,  такой  плательщик  лишается права  на  применение  пониженных  тарифов  страховых  взносов,  с  начала расчетного  периода,  в  котором  допущено  несоответствие  установленным условиям.</w:t>
      </w:r>
    </w:p>
    <w:p w:rsidR="0056119A" w:rsidRDefault="0056119A" w:rsidP="00304252">
      <w:pPr>
        <w:spacing w:after="0"/>
        <w:ind w:firstLine="709"/>
        <w:jc w:val="both"/>
        <w:rPr>
          <w:rFonts w:ascii="Times New Roman" w:hAnsi="Times New Roman" w:cs="Times New Roman"/>
          <w:sz w:val="20"/>
          <w:szCs w:val="20"/>
        </w:rPr>
      </w:pPr>
      <w:r w:rsidRPr="00304252">
        <w:rPr>
          <w:rFonts w:ascii="Times New Roman" w:hAnsi="Times New Roman" w:cs="Times New Roman"/>
          <w:sz w:val="20"/>
          <w:szCs w:val="20"/>
        </w:rPr>
        <w:t>При этом сумма страховых взносов, исчисленная с начала расчетного периода,  в  котором  допущено  несоответствие  установленным  условиям, исходя из тарифов страховых взносов, установленных пунктом 2 статьи 425 настоящего Кодекса, с учетом уменьшения на величину уплаченных за этот период  страховых  взносов,  подлежит  восстановлению  и  уплате  в установленном порядке</w:t>
      </w:r>
    </w:p>
    <w:p w:rsidR="006A230E" w:rsidRDefault="006A230E" w:rsidP="00304252">
      <w:pPr>
        <w:spacing w:after="0"/>
        <w:ind w:firstLine="709"/>
        <w:jc w:val="both"/>
        <w:rPr>
          <w:rFonts w:ascii="Times New Roman" w:hAnsi="Times New Roman" w:cs="Times New Roman"/>
          <w:sz w:val="20"/>
          <w:szCs w:val="20"/>
        </w:rPr>
      </w:pPr>
    </w:p>
    <w:p w:rsidR="006A230E" w:rsidRPr="00304252" w:rsidRDefault="006A230E" w:rsidP="00304252">
      <w:pPr>
        <w:spacing w:after="0"/>
        <w:ind w:firstLine="709"/>
        <w:jc w:val="both"/>
        <w:rPr>
          <w:rFonts w:ascii="Times New Roman" w:hAnsi="Times New Roman" w:cs="Times New Roman"/>
          <w:sz w:val="20"/>
          <w:szCs w:val="20"/>
        </w:rPr>
      </w:pPr>
    </w:p>
    <w:p w:rsidR="0056119A" w:rsidRDefault="0056119A" w:rsidP="00304252">
      <w:pPr>
        <w:spacing w:after="0"/>
        <w:ind w:firstLine="709"/>
        <w:jc w:val="right"/>
        <w:rPr>
          <w:sz w:val="28"/>
          <w:szCs w:val="28"/>
        </w:rPr>
      </w:pPr>
    </w:p>
    <w:p w:rsidR="006A230E" w:rsidRPr="006A230E" w:rsidRDefault="006A230E" w:rsidP="006A230E">
      <w:pPr>
        <w:spacing w:after="0"/>
        <w:jc w:val="both"/>
        <w:rPr>
          <w:rFonts w:ascii="Times New Roman" w:hAnsi="Times New Roman" w:cs="Times New Roman"/>
          <w:b/>
          <w:sz w:val="20"/>
          <w:szCs w:val="20"/>
        </w:rPr>
      </w:pPr>
      <w:r w:rsidRPr="006A230E">
        <w:rPr>
          <w:rFonts w:ascii="Times New Roman" w:hAnsi="Times New Roman" w:cs="Times New Roman"/>
          <w:b/>
          <w:sz w:val="20"/>
          <w:szCs w:val="20"/>
        </w:rPr>
        <w:lastRenderedPageBreak/>
        <w:t xml:space="preserve">                                                          Ответственность за мелкое взяточничество</w:t>
      </w:r>
    </w:p>
    <w:p w:rsidR="006A230E" w:rsidRPr="006A230E" w:rsidRDefault="006A230E" w:rsidP="006A230E">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Pr="006A230E">
        <w:rPr>
          <w:rFonts w:ascii="Times New Roman" w:hAnsi="Times New Roman" w:cs="Times New Roman"/>
          <w:sz w:val="20"/>
          <w:szCs w:val="20"/>
        </w:rPr>
        <w:t xml:space="preserve">Законодательством  Российской  Федерации  установлена  уголовная ответственность  за  мелкое  взяточничество.  Понятие  «мелкое взяточничество» закреплено ст. 291.2 УК РФ и означает получение или дачу взятки лично или через посредника в размере, не превышающем десяти тысяч рублей. Предметом преступления является взятка, выраженная как в денежном эквиваленте,  так  и  ценными  бумагами,  иным  движимым  и  недвижимым имуществом, оказанием услуг имущественного характера, предоставлением имущественных прав. Уголовную ответственность несут дающая и принимающая сторона. </w:t>
      </w:r>
      <w:proofErr w:type="gramStart"/>
      <w:r w:rsidRPr="006A230E">
        <w:rPr>
          <w:rFonts w:ascii="Times New Roman" w:hAnsi="Times New Roman" w:cs="Times New Roman"/>
          <w:sz w:val="20"/>
          <w:szCs w:val="20"/>
        </w:rPr>
        <w:t>Примечанием к статье 291.2 УК РФ установлено,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либо в отношении него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roofErr w:type="gramEnd"/>
      <w:r w:rsidRPr="006A230E">
        <w:rPr>
          <w:rFonts w:ascii="Times New Roman" w:hAnsi="Times New Roman" w:cs="Times New Roman"/>
          <w:sz w:val="20"/>
          <w:szCs w:val="20"/>
        </w:rPr>
        <w:t xml:space="preserve"> Максимальное  наказание  за  совершение  указанного  преступления предусмотрено в виде лишения свободы на срок до одного года. Если  те  же  деяния  совершены  лицом,  </w:t>
      </w:r>
      <w:proofErr w:type="gramStart"/>
      <w:r w:rsidRPr="006A230E">
        <w:rPr>
          <w:rFonts w:ascii="Times New Roman" w:hAnsi="Times New Roman" w:cs="Times New Roman"/>
          <w:sz w:val="20"/>
          <w:szCs w:val="20"/>
        </w:rPr>
        <w:t>имеющем</w:t>
      </w:r>
      <w:proofErr w:type="gramEnd"/>
      <w:r w:rsidRPr="006A230E">
        <w:rPr>
          <w:rFonts w:ascii="Times New Roman" w:hAnsi="Times New Roman" w:cs="Times New Roman"/>
          <w:sz w:val="20"/>
          <w:szCs w:val="20"/>
        </w:rPr>
        <w:t xml:space="preserve">  судимость  за совершение преступлений, предусмотренных статьями 290, 291, 291.1, 291.2 УКРФ, то суд может назначить наказание до трех лет лишения свободы.</w:t>
      </w:r>
    </w:p>
    <w:p w:rsidR="00471FB5" w:rsidRDefault="00471FB5" w:rsidP="006A230E">
      <w:pPr>
        <w:spacing w:after="0"/>
        <w:ind w:firstLine="709"/>
        <w:jc w:val="right"/>
        <w:rPr>
          <w:sz w:val="28"/>
          <w:szCs w:val="28"/>
        </w:rPr>
      </w:pPr>
    </w:p>
    <w:p w:rsidR="006A230E" w:rsidRPr="006A230E" w:rsidRDefault="006A230E" w:rsidP="006A230E">
      <w:pPr>
        <w:spacing w:after="0"/>
        <w:ind w:firstLine="709"/>
        <w:jc w:val="center"/>
        <w:rPr>
          <w:rFonts w:ascii="Times New Roman" w:hAnsi="Times New Roman" w:cs="Times New Roman"/>
          <w:b/>
          <w:sz w:val="20"/>
          <w:szCs w:val="20"/>
        </w:rPr>
      </w:pPr>
      <w:r w:rsidRPr="006A230E">
        <w:rPr>
          <w:rFonts w:ascii="Times New Roman" w:hAnsi="Times New Roman" w:cs="Times New Roman"/>
          <w:b/>
          <w:sz w:val="20"/>
          <w:szCs w:val="20"/>
        </w:rPr>
        <w:t>Расширен круг лиц, относящихся к ветеранам боевых действий</w:t>
      </w:r>
    </w:p>
    <w:p w:rsidR="006A230E" w:rsidRPr="006A230E" w:rsidRDefault="006A230E" w:rsidP="006A230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A230E">
        <w:rPr>
          <w:rFonts w:ascii="Times New Roman" w:hAnsi="Times New Roman" w:cs="Times New Roman"/>
          <w:sz w:val="20"/>
          <w:szCs w:val="20"/>
        </w:rPr>
        <w:t>Федеральным законом от 16.02.2022 № 14-ФЗ внесены изменения в статью 45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в Федеральный закон</w:t>
      </w:r>
      <w:proofErr w:type="gramEnd"/>
      <w:r w:rsidRPr="006A230E">
        <w:rPr>
          <w:rFonts w:ascii="Times New Roman" w:hAnsi="Times New Roman" w:cs="Times New Roman"/>
          <w:sz w:val="20"/>
          <w:szCs w:val="20"/>
        </w:rPr>
        <w:t xml:space="preserve"> «О ветеранах».</w:t>
      </w:r>
    </w:p>
    <w:p w:rsidR="006A230E" w:rsidRPr="006A230E" w:rsidRDefault="006A230E" w:rsidP="006A230E">
      <w:pPr>
        <w:ind w:firstLine="709"/>
        <w:jc w:val="both"/>
        <w:rPr>
          <w:rFonts w:ascii="Times New Roman" w:hAnsi="Times New Roman" w:cs="Times New Roman"/>
          <w:sz w:val="20"/>
          <w:szCs w:val="20"/>
        </w:rPr>
      </w:pPr>
      <w:r w:rsidRPr="006A230E">
        <w:rPr>
          <w:rFonts w:ascii="Times New Roman" w:hAnsi="Times New Roman" w:cs="Times New Roman"/>
          <w:sz w:val="20"/>
          <w:szCs w:val="20"/>
        </w:rPr>
        <w:t xml:space="preserve">В соответствии с внесенными изменениями к ветеранам боевых действий отнесены прокуроры, а также сотрудники Следственного комитета России, исполнявшие свои служебные обязанности в зонах вооруженных конфликтов в Чечне и на территории </w:t>
      </w:r>
      <w:proofErr w:type="spellStart"/>
      <w:r w:rsidRPr="006A230E">
        <w:rPr>
          <w:rFonts w:ascii="Times New Roman" w:hAnsi="Times New Roman" w:cs="Times New Roman"/>
          <w:sz w:val="20"/>
          <w:szCs w:val="20"/>
        </w:rPr>
        <w:t>Северо-Кавказского</w:t>
      </w:r>
      <w:proofErr w:type="spellEnd"/>
      <w:r w:rsidRPr="006A230E">
        <w:rPr>
          <w:rFonts w:ascii="Times New Roman" w:hAnsi="Times New Roman" w:cs="Times New Roman"/>
          <w:sz w:val="20"/>
          <w:szCs w:val="20"/>
        </w:rPr>
        <w:t xml:space="preserve"> региона.</w:t>
      </w:r>
    </w:p>
    <w:p w:rsidR="006A230E" w:rsidRPr="006A230E" w:rsidRDefault="006A230E" w:rsidP="006A230E">
      <w:pPr>
        <w:ind w:firstLine="709"/>
        <w:jc w:val="both"/>
        <w:rPr>
          <w:rFonts w:ascii="Times New Roman" w:hAnsi="Times New Roman" w:cs="Times New Roman"/>
          <w:sz w:val="20"/>
          <w:szCs w:val="20"/>
        </w:rPr>
      </w:pPr>
      <w:r w:rsidRPr="006A230E">
        <w:rPr>
          <w:rFonts w:ascii="Times New Roman" w:hAnsi="Times New Roman" w:cs="Times New Roman"/>
          <w:sz w:val="20"/>
          <w:szCs w:val="20"/>
        </w:rPr>
        <w:t>Изменения, внесенные в Закон о ветеранах, позволят предоставить указанным категориям лиц право на дополнительные меры социальной поддержки.</w:t>
      </w:r>
    </w:p>
    <w:p w:rsidR="006A230E" w:rsidRPr="006A230E" w:rsidRDefault="006A230E" w:rsidP="006A230E">
      <w:pPr>
        <w:ind w:firstLine="709"/>
        <w:jc w:val="both"/>
        <w:rPr>
          <w:rFonts w:ascii="Times New Roman" w:hAnsi="Times New Roman" w:cs="Times New Roman"/>
          <w:sz w:val="20"/>
          <w:szCs w:val="20"/>
        </w:rPr>
      </w:pPr>
      <w:r w:rsidRPr="006A230E">
        <w:rPr>
          <w:rFonts w:ascii="Times New Roman" w:hAnsi="Times New Roman" w:cs="Times New Roman"/>
          <w:sz w:val="20"/>
          <w:szCs w:val="20"/>
        </w:rPr>
        <w:t>Федеральный закон вступил в силу 16.02.2022.</w:t>
      </w:r>
    </w:p>
    <w:p w:rsidR="005A29A0" w:rsidRPr="006E4727" w:rsidRDefault="005A29A0" w:rsidP="005A29A0">
      <w:pPr>
        <w:spacing w:after="0"/>
        <w:rPr>
          <w:rFonts w:ascii="Times New Roman" w:hAnsi="Times New Roman" w:cs="Times New Roman"/>
          <w:sz w:val="16"/>
          <w:szCs w:val="16"/>
        </w:rPr>
      </w:pPr>
      <w:r w:rsidRPr="006E4727">
        <w:rPr>
          <w:rFonts w:ascii="Times New Roman" w:hAnsi="Times New Roman" w:cs="Times New Roman"/>
          <w:sz w:val="16"/>
          <w:szCs w:val="16"/>
        </w:rPr>
        <w:t>Периодическое печатное</w:t>
      </w:r>
    </w:p>
    <w:p w:rsidR="005A29A0" w:rsidRPr="006E4727" w:rsidRDefault="005A29A0" w:rsidP="005A29A0">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6E4727">
        <w:rPr>
          <w:rFonts w:ascii="Times New Roman" w:hAnsi="Times New Roman" w:cs="Times New Roman"/>
          <w:sz w:val="16"/>
          <w:szCs w:val="16"/>
        </w:rPr>
        <w:t>издание</w:t>
      </w:r>
    </w:p>
    <w:p w:rsidR="005A29A0" w:rsidRPr="006E4727" w:rsidRDefault="005A29A0" w:rsidP="005A29A0">
      <w:pPr>
        <w:spacing w:after="0" w:line="240" w:lineRule="auto"/>
        <w:rPr>
          <w:rFonts w:ascii="Times New Roman" w:hAnsi="Times New Roman" w:cs="Times New Roman"/>
          <w:sz w:val="16"/>
          <w:szCs w:val="16"/>
        </w:rPr>
      </w:pPr>
      <w:r w:rsidRPr="006E4727">
        <w:rPr>
          <w:rFonts w:ascii="Times New Roman" w:hAnsi="Times New Roman" w:cs="Times New Roman"/>
          <w:sz w:val="16"/>
          <w:szCs w:val="16"/>
        </w:rPr>
        <w:t>«</w:t>
      </w:r>
      <w:proofErr w:type="spellStart"/>
      <w:r w:rsidRPr="006E4727">
        <w:rPr>
          <w:rFonts w:ascii="Times New Roman" w:hAnsi="Times New Roman" w:cs="Times New Roman"/>
          <w:sz w:val="16"/>
          <w:szCs w:val="16"/>
        </w:rPr>
        <w:t>Булдеевский</w:t>
      </w:r>
      <w:proofErr w:type="spellEnd"/>
      <w:r w:rsidRPr="006E4727">
        <w:rPr>
          <w:rFonts w:ascii="Times New Roman" w:hAnsi="Times New Roman" w:cs="Times New Roman"/>
          <w:sz w:val="16"/>
          <w:szCs w:val="16"/>
        </w:rPr>
        <w:t xml:space="preserve"> вестник»                                        Администрация                                               главный редактор</w:t>
      </w:r>
    </w:p>
    <w:p w:rsidR="005A29A0" w:rsidRPr="006E4727" w:rsidRDefault="005A29A0" w:rsidP="005A29A0">
      <w:pPr>
        <w:spacing w:after="0"/>
        <w:rPr>
          <w:rFonts w:ascii="Times New Roman" w:hAnsi="Times New Roman" w:cs="Times New Roman"/>
          <w:sz w:val="16"/>
          <w:szCs w:val="16"/>
        </w:rPr>
      </w:pPr>
      <w:r w:rsidRPr="006E4727">
        <w:rPr>
          <w:rFonts w:ascii="Times New Roman" w:hAnsi="Times New Roman" w:cs="Times New Roman"/>
          <w:sz w:val="16"/>
          <w:szCs w:val="16"/>
        </w:rPr>
        <w:t xml:space="preserve">Адрес редакционного Совета  и                         </w:t>
      </w:r>
      <w:proofErr w:type="spellStart"/>
      <w:r w:rsidRPr="006E4727">
        <w:rPr>
          <w:rFonts w:ascii="Times New Roman" w:hAnsi="Times New Roman" w:cs="Times New Roman"/>
          <w:sz w:val="16"/>
          <w:szCs w:val="16"/>
        </w:rPr>
        <w:t>Булдеевского</w:t>
      </w:r>
      <w:proofErr w:type="spellEnd"/>
      <w:r w:rsidRPr="006E4727">
        <w:rPr>
          <w:rFonts w:ascii="Times New Roman" w:hAnsi="Times New Roman" w:cs="Times New Roman"/>
          <w:sz w:val="16"/>
          <w:szCs w:val="16"/>
        </w:rPr>
        <w:t xml:space="preserve"> сельского                                      Кириллов А.Л.</w:t>
      </w:r>
    </w:p>
    <w:p w:rsidR="005A29A0" w:rsidRPr="006E4727" w:rsidRDefault="005A29A0" w:rsidP="005A29A0">
      <w:pPr>
        <w:spacing w:after="0"/>
        <w:rPr>
          <w:rFonts w:ascii="Times New Roman" w:hAnsi="Times New Roman" w:cs="Times New Roman"/>
          <w:sz w:val="16"/>
          <w:szCs w:val="16"/>
        </w:rPr>
      </w:pPr>
      <w:r w:rsidRPr="006E4727">
        <w:rPr>
          <w:rFonts w:ascii="Times New Roman" w:hAnsi="Times New Roman" w:cs="Times New Roman"/>
          <w:sz w:val="16"/>
          <w:szCs w:val="16"/>
        </w:rPr>
        <w:t xml:space="preserve">              издателя:                                               поселения </w:t>
      </w:r>
      <w:proofErr w:type="spellStart"/>
      <w:r w:rsidRPr="006E4727">
        <w:rPr>
          <w:rFonts w:ascii="Times New Roman" w:hAnsi="Times New Roman" w:cs="Times New Roman"/>
          <w:sz w:val="16"/>
          <w:szCs w:val="16"/>
        </w:rPr>
        <w:t>Цивильского</w:t>
      </w:r>
      <w:proofErr w:type="spellEnd"/>
      <w:r w:rsidRPr="006E4727">
        <w:rPr>
          <w:rFonts w:ascii="Times New Roman" w:hAnsi="Times New Roman" w:cs="Times New Roman"/>
          <w:sz w:val="16"/>
          <w:szCs w:val="16"/>
        </w:rPr>
        <w:t xml:space="preserve">                                   тираж 5 экз.</w:t>
      </w:r>
    </w:p>
    <w:p w:rsidR="005A29A0" w:rsidRPr="006E4727" w:rsidRDefault="005A29A0" w:rsidP="005A29A0">
      <w:pPr>
        <w:spacing w:after="0"/>
        <w:rPr>
          <w:rFonts w:ascii="Times New Roman" w:hAnsi="Times New Roman" w:cs="Times New Roman"/>
          <w:sz w:val="16"/>
          <w:szCs w:val="16"/>
        </w:rPr>
      </w:pPr>
      <w:r w:rsidRPr="006E4727">
        <w:rPr>
          <w:rFonts w:ascii="Times New Roman" w:hAnsi="Times New Roman" w:cs="Times New Roman"/>
          <w:sz w:val="16"/>
          <w:szCs w:val="16"/>
        </w:rPr>
        <w:t xml:space="preserve">429906, </w:t>
      </w:r>
      <w:proofErr w:type="spellStart"/>
      <w:r w:rsidRPr="006E4727">
        <w:rPr>
          <w:rFonts w:ascii="Times New Roman" w:hAnsi="Times New Roman" w:cs="Times New Roman"/>
          <w:sz w:val="16"/>
          <w:szCs w:val="16"/>
        </w:rPr>
        <w:t>д</w:t>
      </w:r>
      <w:proofErr w:type="gramStart"/>
      <w:r w:rsidRPr="006E4727">
        <w:rPr>
          <w:rFonts w:ascii="Times New Roman" w:hAnsi="Times New Roman" w:cs="Times New Roman"/>
          <w:sz w:val="16"/>
          <w:szCs w:val="16"/>
        </w:rPr>
        <w:t>.Б</w:t>
      </w:r>
      <w:proofErr w:type="gramEnd"/>
      <w:r w:rsidRPr="006E4727">
        <w:rPr>
          <w:rFonts w:ascii="Times New Roman" w:hAnsi="Times New Roman" w:cs="Times New Roman"/>
          <w:sz w:val="16"/>
          <w:szCs w:val="16"/>
        </w:rPr>
        <w:t>улдеево</w:t>
      </w:r>
      <w:proofErr w:type="spellEnd"/>
      <w:r w:rsidRPr="006E4727">
        <w:rPr>
          <w:rFonts w:ascii="Times New Roman" w:hAnsi="Times New Roman" w:cs="Times New Roman"/>
          <w:sz w:val="16"/>
          <w:szCs w:val="16"/>
        </w:rPr>
        <w:t>, ул.Садовая,                        района Чувашской  Республики           объем 1 п.л. формат  А4</w:t>
      </w:r>
    </w:p>
    <w:p w:rsidR="005A29A0" w:rsidRPr="006E4727" w:rsidRDefault="005A29A0" w:rsidP="005A29A0">
      <w:pPr>
        <w:spacing w:after="0"/>
        <w:rPr>
          <w:rFonts w:ascii="Times New Roman" w:hAnsi="Times New Roman" w:cs="Times New Roman"/>
          <w:sz w:val="16"/>
          <w:szCs w:val="16"/>
        </w:rPr>
      </w:pPr>
      <w:r w:rsidRPr="006E4727">
        <w:rPr>
          <w:rFonts w:ascii="Times New Roman" w:hAnsi="Times New Roman" w:cs="Times New Roman"/>
          <w:sz w:val="16"/>
          <w:szCs w:val="16"/>
        </w:rPr>
        <w:t xml:space="preserve">               д.1а</w:t>
      </w:r>
      <w:proofErr w:type="gramStart"/>
      <w:r w:rsidRPr="006E4727">
        <w:rPr>
          <w:rFonts w:ascii="Times New Roman" w:hAnsi="Times New Roman" w:cs="Times New Roman"/>
          <w:sz w:val="16"/>
          <w:szCs w:val="16"/>
        </w:rPr>
        <w:t xml:space="preserve">                                                                                                                        Р</w:t>
      </w:r>
      <w:proofErr w:type="gramEnd"/>
      <w:r w:rsidRPr="006E4727">
        <w:rPr>
          <w:rFonts w:ascii="Times New Roman" w:hAnsi="Times New Roman" w:cs="Times New Roman"/>
          <w:sz w:val="16"/>
          <w:szCs w:val="16"/>
        </w:rPr>
        <w:t>аспространяется бесплатно</w:t>
      </w:r>
    </w:p>
    <w:p w:rsidR="005A29A0" w:rsidRPr="006E4727" w:rsidRDefault="005A29A0" w:rsidP="005A29A0">
      <w:pPr>
        <w:spacing w:after="0"/>
        <w:rPr>
          <w:rFonts w:ascii="Times New Roman" w:hAnsi="Times New Roman" w:cs="Times New Roman"/>
          <w:sz w:val="16"/>
          <w:szCs w:val="16"/>
          <w:u w:val="single"/>
        </w:rPr>
      </w:pPr>
      <w:r w:rsidRPr="006E4727">
        <w:rPr>
          <w:rFonts w:ascii="Times New Roman" w:hAnsi="Times New Roman" w:cs="Times New Roman"/>
          <w:sz w:val="16"/>
          <w:szCs w:val="16"/>
          <w:lang w:val="en-US"/>
        </w:rPr>
        <w:t>Email</w:t>
      </w:r>
      <w:proofErr w:type="gramStart"/>
      <w:r w:rsidRPr="006E4727">
        <w:rPr>
          <w:rFonts w:ascii="Times New Roman" w:hAnsi="Times New Roman" w:cs="Times New Roman"/>
          <w:sz w:val="16"/>
          <w:szCs w:val="16"/>
        </w:rPr>
        <w:t>:</w:t>
      </w:r>
      <w:proofErr w:type="spellStart"/>
      <w:r w:rsidRPr="006E4727">
        <w:rPr>
          <w:rFonts w:ascii="Times New Roman" w:hAnsi="Times New Roman" w:cs="Times New Roman"/>
          <w:sz w:val="16"/>
          <w:szCs w:val="16"/>
          <w:u w:val="single"/>
          <w:lang w:val="en-US"/>
        </w:rPr>
        <w:t>zivil</w:t>
      </w:r>
      <w:proofErr w:type="spellEnd"/>
      <w:proofErr w:type="gramEnd"/>
      <w:r w:rsidRPr="006E4727">
        <w:rPr>
          <w:rFonts w:ascii="Times New Roman" w:hAnsi="Times New Roman" w:cs="Times New Roman"/>
          <w:sz w:val="16"/>
          <w:szCs w:val="16"/>
          <w:u w:val="single"/>
        </w:rPr>
        <w:t>_</w:t>
      </w:r>
      <w:proofErr w:type="spellStart"/>
      <w:r w:rsidRPr="006E4727">
        <w:rPr>
          <w:rFonts w:ascii="Times New Roman" w:hAnsi="Times New Roman" w:cs="Times New Roman"/>
          <w:sz w:val="16"/>
          <w:szCs w:val="16"/>
          <w:u w:val="single"/>
          <w:lang w:val="en-US"/>
        </w:rPr>
        <w:t>buld</w:t>
      </w:r>
      <w:proofErr w:type="spellEnd"/>
      <w:r w:rsidRPr="006E4727">
        <w:rPr>
          <w:rFonts w:ascii="Times New Roman" w:hAnsi="Times New Roman" w:cs="Times New Roman"/>
          <w:sz w:val="16"/>
          <w:szCs w:val="16"/>
          <w:u w:val="single"/>
        </w:rPr>
        <w:t xml:space="preserve"> @.</w:t>
      </w:r>
      <w:r w:rsidRPr="006E4727">
        <w:rPr>
          <w:rFonts w:ascii="Times New Roman" w:hAnsi="Times New Roman" w:cs="Times New Roman"/>
          <w:sz w:val="16"/>
          <w:szCs w:val="16"/>
          <w:u w:val="single"/>
          <w:lang w:val="en-US"/>
        </w:rPr>
        <w:t>cap</w:t>
      </w:r>
      <w:r w:rsidRPr="006E4727">
        <w:rPr>
          <w:rFonts w:ascii="Times New Roman" w:hAnsi="Times New Roman" w:cs="Times New Roman"/>
          <w:sz w:val="16"/>
          <w:szCs w:val="16"/>
          <w:u w:val="single"/>
        </w:rPr>
        <w:t>.</w:t>
      </w:r>
      <w:proofErr w:type="spellStart"/>
      <w:r w:rsidRPr="006E4727">
        <w:rPr>
          <w:rFonts w:ascii="Times New Roman" w:hAnsi="Times New Roman" w:cs="Times New Roman"/>
          <w:sz w:val="16"/>
          <w:szCs w:val="16"/>
          <w:u w:val="single"/>
          <w:lang w:val="en-US"/>
        </w:rPr>
        <w:t>ru</w:t>
      </w:r>
      <w:proofErr w:type="spellEnd"/>
    </w:p>
    <w:p w:rsidR="005A29A0" w:rsidRDefault="005A29A0"/>
    <w:sectPr w:rsidR="005A29A0" w:rsidSect="00837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0AFF" w:usb1="00007843" w:usb2="00000001" w:usb3="00000000" w:csb0="000001B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useFELayout/>
  </w:compat>
  <w:rsids>
    <w:rsidRoot w:val="005A29A0"/>
    <w:rsid w:val="00304252"/>
    <w:rsid w:val="00471FB5"/>
    <w:rsid w:val="00556AB7"/>
    <w:rsid w:val="0056119A"/>
    <w:rsid w:val="005A29A0"/>
    <w:rsid w:val="006A230E"/>
    <w:rsid w:val="00837704"/>
    <w:rsid w:val="00CD5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БУЛДЕЕВО</dc:creator>
  <cp:keywords/>
  <dc:description/>
  <cp:lastModifiedBy>БУЛДЕЕВО</cp:lastModifiedBy>
  <cp:revision>3</cp:revision>
  <cp:lastPrinted>2022-06-28T12:08:00Z</cp:lastPrinted>
  <dcterms:created xsi:type="dcterms:W3CDTF">2022-06-28T09:00:00Z</dcterms:created>
  <dcterms:modified xsi:type="dcterms:W3CDTF">2022-06-28T12:09:00Z</dcterms:modified>
</cp:coreProperties>
</file>