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B81C1A" w:rsidTr="00AF7BB6">
        <w:trPr>
          <w:cantSplit/>
        </w:trPr>
        <w:tc>
          <w:tcPr>
            <w:tcW w:w="4195" w:type="dxa"/>
            <w:hideMark/>
          </w:tcPr>
          <w:p w:rsidR="00B81C1A" w:rsidRPr="0044462B" w:rsidRDefault="00B81C1A" w:rsidP="00AF7BB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44462B">
              <w:rPr>
                <w:bCs/>
                <w:noProof/>
                <w:color w:val="000000"/>
              </w:rPr>
              <w:t>ЧĂВАШ РЕСПУБЛИКИ</w:t>
            </w:r>
          </w:p>
          <w:p w:rsidR="00B81C1A" w:rsidRPr="0044462B" w:rsidRDefault="00B81C1A" w:rsidP="00AF7BB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</w:pPr>
            <w:r w:rsidRPr="0044462B">
              <w:rPr>
                <w:caps/>
              </w:rPr>
              <w:t>СĔнтĔрвĂрри</w:t>
            </w:r>
            <w:r w:rsidRPr="0044462B">
              <w:rPr>
                <w:bCs/>
                <w:noProof/>
                <w:color w:val="000000"/>
              </w:rPr>
              <w:t xml:space="preserve"> РАЙОНĚ</w:t>
            </w:r>
          </w:p>
          <w:p w:rsidR="00B81C1A" w:rsidRPr="0044462B" w:rsidRDefault="00B81C1A" w:rsidP="00AF7BB6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КУКАШНИ ЯЛ ПОСЕЛЕНИЙĚН</w:t>
            </w:r>
          </w:p>
          <w:p w:rsidR="00B81C1A" w:rsidRPr="0044462B" w:rsidRDefault="00B81C1A" w:rsidP="00AF7BB6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sz w:val="26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АДМИНИСТРАЦИЙĚ</w:t>
            </w:r>
          </w:p>
          <w:p w:rsidR="00B81C1A" w:rsidRDefault="00B81C1A" w:rsidP="00AF7BB6">
            <w:pPr>
              <w:jc w:val="center"/>
            </w:pPr>
          </w:p>
          <w:p w:rsidR="00B81C1A" w:rsidRDefault="00B81C1A" w:rsidP="00AF7BB6">
            <w:pPr>
              <w:jc w:val="center"/>
            </w:pPr>
          </w:p>
          <w:p w:rsidR="00B81C1A" w:rsidRDefault="00B81C1A" w:rsidP="00AF7BB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B81C1A" w:rsidRDefault="00B81C1A" w:rsidP="00AF7BB6">
            <w:pPr>
              <w:jc w:val="center"/>
            </w:pPr>
          </w:p>
          <w:p w:rsidR="00B81C1A" w:rsidRPr="0066117D" w:rsidRDefault="00B81C1A" w:rsidP="00AF7BB6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</w:t>
            </w:r>
            <w:r w:rsidR="006F347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.0</w:t>
            </w:r>
            <w:r w:rsidR="006F347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.</w:t>
            </w:r>
            <w:r w:rsidR="006F3472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01 45/1</w:t>
            </w:r>
            <w:r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№</w:t>
            </w:r>
          </w:p>
          <w:p w:rsidR="00B81C1A" w:rsidRDefault="00B81C1A" w:rsidP="00AF7BB6">
            <w:pPr>
              <w:pStyle w:val="a3"/>
              <w:ind w:right="-35"/>
              <w:jc w:val="center"/>
              <w:rPr>
                <w:sz w:val="26"/>
              </w:rPr>
            </w:pPr>
            <w:r w:rsidRPr="00EE2D4F">
              <w:rPr>
                <w:rFonts w:ascii="Times New Roman" w:hAnsi="Times New Roman" w:cs="Times New Roman"/>
                <w:noProof/>
                <w:sz w:val="22"/>
                <w:szCs w:val="22"/>
              </w:rPr>
              <w:t>Кукашни ялě</w:t>
            </w:r>
          </w:p>
        </w:tc>
        <w:tc>
          <w:tcPr>
            <w:tcW w:w="1173" w:type="dxa"/>
          </w:tcPr>
          <w:p w:rsidR="00B81C1A" w:rsidRDefault="00B81C1A" w:rsidP="00AF7BB6">
            <w:pPr>
              <w:ind w:left="-89"/>
              <w:jc w:val="center"/>
              <w:rPr>
                <w:b/>
                <w:i/>
                <w:sz w:val="26"/>
              </w:rPr>
            </w:pPr>
            <w:r>
              <w:rPr>
                <w:noProof/>
              </w:rPr>
              <w:drawing>
                <wp:inline distT="0" distB="0" distL="0" distR="0">
                  <wp:extent cx="720090" cy="720090"/>
                  <wp:effectExtent l="0" t="0" r="0" b="0"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B81C1A" w:rsidRPr="0044462B" w:rsidRDefault="00B81C1A" w:rsidP="00AF7BB6">
            <w:pPr>
              <w:pStyle w:val="a3"/>
              <w:jc w:val="center"/>
              <w:rPr>
                <w:bCs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sz w:val="22"/>
              </w:rPr>
              <w:t>ЧУВАШСКАЯ РЕСПУБЛИКА</w:t>
            </w:r>
            <w:r w:rsidRPr="0044462B">
              <w:rPr>
                <w:rFonts w:ascii="Times New Roman" w:hAnsi="Times New Roman" w:cs="Times New Roman"/>
                <w:bCs/>
                <w:noProof/>
                <w:sz w:val="22"/>
              </w:rPr>
              <w:br/>
            </w: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МАРИИНСКО-ПОСАДСКИЙ РАЙОН</w:t>
            </w:r>
          </w:p>
          <w:p w:rsidR="00B81C1A" w:rsidRPr="0044462B" w:rsidRDefault="00B81C1A" w:rsidP="00AF7BB6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АДМИНИСТРАЦИЯ</w:t>
            </w:r>
          </w:p>
          <w:p w:rsidR="00B81C1A" w:rsidRPr="0044462B" w:rsidRDefault="00B81C1A" w:rsidP="00AF7BB6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СУТЧЕВСКОГО СЕЛЬСКОГО</w:t>
            </w:r>
          </w:p>
          <w:p w:rsidR="00B81C1A" w:rsidRPr="0044462B" w:rsidRDefault="00B81C1A" w:rsidP="00AF7BB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44462B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>ПОСЕЛЕНИЯ</w:t>
            </w:r>
          </w:p>
          <w:p w:rsidR="00B81C1A" w:rsidRPr="0044462B" w:rsidRDefault="00B81C1A" w:rsidP="00AF7BB6">
            <w:pPr>
              <w:pStyle w:val="a3"/>
              <w:jc w:val="center"/>
              <w:rPr>
                <w:rStyle w:val="a4"/>
                <w:color w:val="000000"/>
                <w:sz w:val="32"/>
              </w:rPr>
            </w:pPr>
          </w:p>
          <w:p w:rsidR="00B81C1A" w:rsidRDefault="00B81C1A" w:rsidP="00AF7BB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B81C1A" w:rsidRDefault="00B81C1A" w:rsidP="00AF7BB6">
            <w:pPr>
              <w:jc w:val="center"/>
            </w:pPr>
          </w:p>
          <w:p w:rsidR="00B81C1A" w:rsidRPr="0066117D" w:rsidRDefault="006F3472" w:rsidP="00AF7B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01</w:t>
            </w:r>
            <w:r w:rsidR="00B81C1A"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</w:t>
            </w:r>
            <w:r w:rsidR="00B81C1A"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</w:t>
            </w:r>
            <w:r w:rsidR="00B81C1A" w:rsidRPr="0066117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45/1</w:t>
            </w:r>
          </w:p>
          <w:p w:rsidR="00B81C1A" w:rsidRDefault="00B81C1A" w:rsidP="00AF7BB6">
            <w:pPr>
              <w:jc w:val="center"/>
              <w:rPr>
                <w:b/>
                <w:bCs/>
              </w:rPr>
            </w:pPr>
            <w:r w:rsidRPr="00EE2D4F">
              <w:rPr>
                <w:noProof/>
                <w:color w:val="000000"/>
                <w:sz w:val="22"/>
                <w:szCs w:val="22"/>
              </w:rPr>
              <w:t>деревня Сутчево</w:t>
            </w:r>
          </w:p>
        </w:tc>
      </w:tr>
    </w:tbl>
    <w:p w:rsidR="00B81C1A" w:rsidRDefault="00B81C1A" w:rsidP="00B81C1A">
      <w:pPr>
        <w:rPr>
          <w:b/>
          <w:color w:val="0D0D0D"/>
        </w:rPr>
      </w:pPr>
    </w:p>
    <w:p w:rsidR="00B81C1A" w:rsidRPr="00A2781E" w:rsidRDefault="00B81C1A" w:rsidP="00DA0165">
      <w:pPr>
        <w:ind w:right="4819"/>
        <w:jc w:val="both"/>
        <w:rPr>
          <w:b/>
          <w:color w:val="0D0D0D"/>
        </w:rPr>
      </w:pPr>
      <w:r>
        <w:rPr>
          <w:b/>
          <w:color w:val="0D0D0D"/>
        </w:rPr>
        <w:t>Об утверждении м</w:t>
      </w:r>
      <w:r w:rsidRPr="00A2781E">
        <w:rPr>
          <w:b/>
          <w:color w:val="0D0D0D"/>
        </w:rPr>
        <w:t>униципальной программы «Энергосбережени</w:t>
      </w:r>
      <w:r>
        <w:rPr>
          <w:b/>
          <w:color w:val="0D0D0D"/>
        </w:rPr>
        <w:t>я</w:t>
      </w:r>
      <w:r w:rsidRPr="00A2781E">
        <w:rPr>
          <w:b/>
          <w:color w:val="0D0D0D"/>
        </w:rPr>
        <w:t xml:space="preserve"> и повышени</w:t>
      </w:r>
      <w:r>
        <w:rPr>
          <w:b/>
          <w:color w:val="0D0D0D"/>
        </w:rPr>
        <w:t>я</w:t>
      </w:r>
      <w:r w:rsidRPr="00A2781E">
        <w:rPr>
          <w:b/>
          <w:color w:val="0D0D0D"/>
        </w:rPr>
        <w:t xml:space="preserve"> энергетической эффективности на территории</w:t>
      </w:r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Сутчевского</w:t>
      </w:r>
      <w:proofErr w:type="spellEnd"/>
      <w:r w:rsidRPr="00A2781E">
        <w:rPr>
          <w:b/>
          <w:color w:val="0D0D0D"/>
        </w:rPr>
        <w:t xml:space="preserve">  сельского поселения Мариинско-Посадского  района Чувашской Республики на 20</w:t>
      </w:r>
      <w:r>
        <w:rPr>
          <w:b/>
          <w:color w:val="0D0D0D"/>
        </w:rPr>
        <w:t>2</w:t>
      </w:r>
      <w:r w:rsidRPr="00A2781E">
        <w:rPr>
          <w:b/>
          <w:color w:val="0D0D0D"/>
        </w:rPr>
        <w:t>1-202</w:t>
      </w:r>
      <w:r>
        <w:rPr>
          <w:b/>
          <w:color w:val="0D0D0D"/>
        </w:rPr>
        <w:t>3</w:t>
      </w:r>
      <w:r w:rsidRPr="00A2781E">
        <w:rPr>
          <w:b/>
          <w:color w:val="0D0D0D"/>
        </w:rPr>
        <w:t xml:space="preserve"> годы»</w:t>
      </w:r>
    </w:p>
    <w:p w:rsidR="00B81C1A" w:rsidRPr="00A2781E" w:rsidRDefault="00B81C1A" w:rsidP="00DA0165">
      <w:pPr>
        <w:ind w:right="4252"/>
        <w:jc w:val="both"/>
        <w:rPr>
          <w:b/>
          <w:color w:val="0D0D0D"/>
        </w:rPr>
      </w:pPr>
    </w:p>
    <w:p w:rsidR="00B81C1A" w:rsidRPr="00A2781E" w:rsidRDefault="00B81C1A" w:rsidP="00B81C1A">
      <w:pPr>
        <w:ind w:firstLine="567"/>
        <w:jc w:val="both"/>
        <w:rPr>
          <w:color w:val="0D0D0D"/>
        </w:rPr>
      </w:pPr>
      <w:proofErr w:type="gramStart"/>
      <w:r w:rsidRPr="00A2781E">
        <w:rPr>
          <w:color w:val="0D0D0D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</w:t>
      </w:r>
      <w:proofErr w:type="gramEnd"/>
      <w:r w:rsidRPr="00A2781E">
        <w:rPr>
          <w:color w:val="0D0D0D"/>
        </w:rPr>
        <w:t xml:space="preserve"> </w:t>
      </w:r>
      <w:proofErr w:type="gramStart"/>
      <w:r w:rsidRPr="00A2781E">
        <w:rPr>
          <w:color w:val="0D0D0D"/>
        </w:rPr>
        <w:t>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</w:t>
      </w:r>
      <w:proofErr w:type="gramEnd"/>
      <w:r w:rsidRPr="00A2781E">
        <w:rPr>
          <w:color w:val="0D0D0D"/>
        </w:rPr>
        <w:t xml:space="preserve"> и о внесении изменений в отдельные законодательные акты Российской Федерации» администрация </w:t>
      </w:r>
      <w:proofErr w:type="spellStart"/>
      <w:r>
        <w:rPr>
          <w:color w:val="0D0D0D"/>
        </w:rPr>
        <w:t>Сутчевского</w:t>
      </w:r>
      <w:proofErr w:type="spellEnd"/>
      <w:r w:rsidRPr="00A2781E">
        <w:rPr>
          <w:color w:val="0D0D0D"/>
        </w:rPr>
        <w:t xml:space="preserve">  сельского поселения  </w:t>
      </w:r>
      <w:r w:rsidRPr="00A2781E">
        <w:rPr>
          <w:b/>
          <w:color w:val="0D0D0D"/>
        </w:rPr>
        <w:t>постановляет:</w:t>
      </w:r>
      <w:r w:rsidRPr="00A2781E">
        <w:rPr>
          <w:color w:val="0D0D0D"/>
        </w:rPr>
        <w:t xml:space="preserve">   </w:t>
      </w:r>
    </w:p>
    <w:p w:rsidR="00B81C1A" w:rsidRDefault="00B81C1A" w:rsidP="00B81C1A">
      <w:pPr>
        <w:ind w:firstLine="567"/>
        <w:jc w:val="both"/>
        <w:rPr>
          <w:color w:val="0D0D0D"/>
        </w:rPr>
      </w:pPr>
      <w:r>
        <w:rPr>
          <w:color w:val="0D0D0D"/>
        </w:rPr>
        <w:t>1. Утвердить м</w:t>
      </w:r>
      <w:r w:rsidRPr="00A2781E">
        <w:rPr>
          <w:color w:val="0D0D0D"/>
        </w:rPr>
        <w:t xml:space="preserve">униципальную программу «Энергосбережение и повышение энергетической эффективности на территории </w:t>
      </w:r>
      <w:proofErr w:type="spellStart"/>
      <w:r>
        <w:rPr>
          <w:color w:val="0D0D0D"/>
        </w:rPr>
        <w:t>Сутчевского</w:t>
      </w:r>
      <w:proofErr w:type="spellEnd"/>
      <w:r w:rsidRPr="00A2781E">
        <w:rPr>
          <w:color w:val="0D0D0D"/>
        </w:rPr>
        <w:t xml:space="preserve"> сельского поселения  Мариинско-Посадского  ра</w:t>
      </w:r>
      <w:r w:rsidR="00DA0165">
        <w:rPr>
          <w:color w:val="0D0D0D"/>
        </w:rPr>
        <w:t>йона Чувашской Республики на 2021</w:t>
      </w:r>
      <w:r w:rsidRPr="00A2781E">
        <w:rPr>
          <w:color w:val="0D0D0D"/>
        </w:rPr>
        <w:t>-202</w:t>
      </w:r>
      <w:r w:rsidR="00DA0165">
        <w:rPr>
          <w:color w:val="0D0D0D"/>
        </w:rPr>
        <w:t>3</w:t>
      </w:r>
      <w:r w:rsidRPr="00A2781E">
        <w:rPr>
          <w:color w:val="0D0D0D"/>
        </w:rPr>
        <w:t xml:space="preserve"> годы (далее – Программа) (прилагается).</w:t>
      </w:r>
    </w:p>
    <w:p w:rsidR="00DA0165" w:rsidRPr="00A2781E" w:rsidRDefault="00DA0165" w:rsidP="00B81C1A">
      <w:pPr>
        <w:ind w:firstLine="567"/>
        <w:jc w:val="both"/>
        <w:rPr>
          <w:color w:val="0D0D0D"/>
        </w:rPr>
      </w:pPr>
      <w:r>
        <w:rPr>
          <w:color w:val="0D0D0D"/>
        </w:rPr>
        <w:t xml:space="preserve">2. </w:t>
      </w:r>
      <w:r w:rsidR="00115CAE">
        <w:rPr>
          <w:color w:val="0D0D0D"/>
        </w:rPr>
        <w:t xml:space="preserve">Утвердить сведения о целевых показателях программы энергосбережения и повышения энергетической эффективности </w:t>
      </w:r>
      <w:r w:rsidR="004B6F1E" w:rsidRPr="00A2781E">
        <w:rPr>
          <w:color w:val="0D0D0D"/>
        </w:rPr>
        <w:t xml:space="preserve">на территории </w:t>
      </w:r>
      <w:proofErr w:type="spellStart"/>
      <w:r w:rsidR="004B6F1E">
        <w:rPr>
          <w:color w:val="0D0D0D"/>
        </w:rPr>
        <w:t>Сутчевского</w:t>
      </w:r>
      <w:proofErr w:type="spellEnd"/>
      <w:r w:rsidR="004B6F1E" w:rsidRPr="00A2781E">
        <w:rPr>
          <w:color w:val="0D0D0D"/>
        </w:rPr>
        <w:t xml:space="preserve">  сельского поселении  Мариинско-Посадского  ра</w:t>
      </w:r>
      <w:r w:rsidR="004B6F1E">
        <w:rPr>
          <w:color w:val="0D0D0D"/>
        </w:rPr>
        <w:t>йона Чувашской Республики на 2021</w:t>
      </w:r>
      <w:r w:rsidR="004B6F1E" w:rsidRPr="00A2781E">
        <w:rPr>
          <w:color w:val="0D0D0D"/>
        </w:rPr>
        <w:t>-202</w:t>
      </w:r>
      <w:r w:rsidR="004B6F1E">
        <w:rPr>
          <w:color w:val="0D0D0D"/>
        </w:rPr>
        <w:t>3</w:t>
      </w:r>
      <w:r w:rsidR="004B6F1E" w:rsidRPr="00A2781E">
        <w:rPr>
          <w:color w:val="0D0D0D"/>
        </w:rPr>
        <w:t xml:space="preserve"> годы»</w:t>
      </w:r>
      <w:r w:rsidR="004B6F1E">
        <w:rPr>
          <w:color w:val="0D0D0D"/>
        </w:rPr>
        <w:t xml:space="preserve"> </w:t>
      </w:r>
      <w:r w:rsidR="00115CAE">
        <w:rPr>
          <w:color w:val="0D0D0D"/>
        </w:rPr>
        <w:t>(прилагается).</w:t>
      </w:r>
    </w:p>
    <w:p w:rsidR="00B81C1A" w:rsidRPr="00A2781E" w:rsidRDefault="00115CAE" w:rsidP="00B81C1A">
      <w:pPr>
        <w:ind w:firstLine="567"/>
        <w:jc w:val="both"/>
        <w:rPr>
          <w:color w:val="0D0D0D"/>
        </w:rPr>
      </w:pPr>
      <w:r>
        <w:rPr>
          <w:color w:val="0D0D0D"/>
        </w:rPr>
        <w:t>3</w:t>
      </w:r>
      <w:r w:rsidR="00B81C1A" w:rsidRPr="00A2781E">
        <w:rPr>
          <w:color w:val="0D0D0D"/>
        </w:rPr>
        <w:t xml:space="preserve">. Утвердить перечень мероприятий муниципальной целевой программы «Энергосбережения и повышения энергетической эффективности на территории </w:t>
      </w:r>
      <w:proofErr w:type="spellStart"/>
      <w:r w:rsidR="00B81C1A">
        <w:rPr>
          <w:color w:val="0D0D0D"/>
        </w:rPr>
        <w:t>Сутчевского</w:t>
      </w:r>
      <w:proofErr w:type="spellEnd"/>
      <w:r w:rsidR="00B81C1A" w:rsidRPr="00A2781E">
        <w:rPr>
          <w:color w:val="0D0D0D"/>
        </w:rPr>
        <w:t xml:space="preserve">  сельского поселении  Мариинско-Посадского  ра</w:t>
      </w:r>
      <w:r w:rsidR="004B6F1E">
        <w:rPr>
          <w:color w:val="0D0D0D"/>
        </w:rPr>
        <w:t>йона Чувашской Республики на 2021</w:t>
      </w:r>
      <w:r w:rsidR="00B81C1A" w:rsidRPr="00A2781E">
        <w:rPr>
          <w:color w:val="0D0D0D"/>
        </w:rPr>
        <w:t>-202</w:t>
      </w:r>
      <w:r w:rsidR="004B6F1E">
        <w:rPr>
          <w:color w:val="0D0D0D"/>
        </w:rPr>
        <w:t>3</w:t>
      </w:r>
      <w:r w:rsidR="00B81C1A" w:rsidRPr="00A2781E">
        <w:rPr>
          <w:color w:val="0D0D0D"/>
        </w:rPr>
        <w:t xml:space="preserve"> годы»  (прилагается).</w:t>
      </w:r>
    </w:p>
    <w:p w:rsidR="00B81C1A" w:rsidRPr="00A2781E" w:rsidRDefault="00115CAE" w:rsidP="00B81C1A">
      <w:pPr>
        <w:ind w:firstLine="567"/>
        <w:jc w:val="both"/>
        <w:rPr>
          <w:color w:val="0D0D0D"/>
        </w:rPr>
      </w:pPr>
      <w:r>
        <w:rPr>
          <w:color w:val="0D0D0D"/>
        </w:rPr>
        <w:t>4</w:t>
      </w:r>
      <w:r w:rsidR="00B81C1A" w:rsidRPr="00A2781E">
        <w:rPr>
          <w:color w:val="0D0D0D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B81C1A">
        <w:rPr>
          <w:color w:val="0D0D0D"/>
        </w:rPr>
        <w:t>Сутчевского</w:t>
      </w:r>
      <w:proofErr w:type="spellEnd"/>
      <w:r w:rsidR="00B81C1A" w:rsidRPr="00A2781E">
        <w:rPr>
          <w:color w:val="0D0D0D"/>
        </w:rPr>
        <w:t xml:space="preserve">  сельского поселения в сети Интернет и вступает в силу после его официального опубликования.</w:t>
      </w:r>
    </w:p>
    <w:p w:rsidR="00B81C1A" w:rsidRPr="00A2781E" w:rsidRDefault="00115CAE" w:rsidP="00B81C1A">
      <w:pPr>
        <w:ind w:firstLine="567"/>
        <w:jc w:val="both"/>
        <w:rPr>
          <w:color w:val="0D0D0D"/>
        </w:rPr>
      </w:pPr>
      <w:r>
        <w:rPr>
          <w:color w:val="0D0D0D"/>
        </w:rPr>
        <w:t>5</w:t>
      </w:r>
      <w:r w:rsidR="00B81C1A" w:rsidRPr="00A2781E">
        <w:rPr>
          <w:color w:val="0D0D0D"/>
        </w:rPr>
        <w:t xml:space="preserve">.    </w:t>
      </w:r>
      <w:proofErr w:type="gramStart"/>
      <w:r w:rsidR="00B81C1A" w:rsidRPr="00A2781E">
        <w:rPr>
          <w:color w:val="0D0D0D"/>
        </w:rPr>
        <w:t>Контроль за</w:t>
      </w:r>
      <w:proofErr w:type="gramEnd"/>
      <w:r w:rsidR="00B81C1A" w:rsidRPr="00A2781E">
        <w:rPr>
          <w:color w:val="0D0D0D"/>
        </w:rPr>
        <w:t xml:space="preserve"> исполнением постановления  оставляю за собой.</w:t>
      </w:r>
    </w:p>
    <w:p w:rsidR="00B81C1A" w:rsidRPr="00A2781E" w:rsidRDefault="00B81C1A" w:rsidP="00B81C1A">
      <w:pPr>
        <w:ind w:firstLine="709"/>
        <w:jc w:val="both"/>
        <w:rPr>
          <w:color w:val="0D0D0D"/>
        </w:rPr>
      </w:pPr>
      <w:r w:rsidRPr="00A2781E">
        <w:rPr>
          <w:color w:val="0D0D0D"/>
        </w:rPr>
        <w:t xml:space="preserve"> </w:t>
      </w:r>
    </w:p>
    <w:p w:rsidR="00B81C1A" w:rsidRPr="00A2781E" w:rsidRDefault="00B81C1A" w:rsidP="00B81C1A">
      <w:pPr>
        <w:ind w:firstLine="709"/>
        <w:jc w:val="both"/>
        <w:rPr>
          <w:color w:val="0D0D0D"/>
        </w:rPr>
      </w:pPr>
    </w:p>
    <w:p w:rsidR="00B81C1A" w:rsidRDefault="00B81C1A" w:rsidP="00B81C1A">
      <w:pPr>
        <w:rPr>
          <w:color w:val="0D0D0D"/>
        </w:rPr>
      </w:pPr>
      <w:r w:rsidRPr="00A2781E">
        <w:rPr>
          <w:color w:val="0D0D0D"/>
        </w:rPr>
        <w:t xml:space="preserve">Глава </w:t>
      </w:r>
      <w:proofErr w:type="spellStart"/>
      <w:r>
        <w:rPr>
          <w:color w:val="0D0D0D"/>
        </w:rPr>
        <w:t>Сутчевского</w:t>
      </w:r>
      <w:proofErr w:type="spellEnd"/>
      <w:r w:rsidRPr="00A2781E">
        <w:rPr>
          <w:color w:val="0D0D0D"/>
        </w:rPr>
        <w:t xml:space="preserve"> сельского поселения                                                        </w:t>
      </w:r>
      <w:r>
        <w:rPr>
          <w:color w:val="0D0D0D"/>
        </w:rPr>
        <w:t>С.Ю. Емельянова</w:t>
      </w:r>
    </w:p>
    <w:p w:rsidR="00B81C1A" w:rsidRDefault="00B81C1A" w:rsidP="00B81C1A">
      <w:pPr>
        <w:rPr>
          <w:color w:val="0D0D0D"/>
        </w:rPr>
        <w:sectPr w:rsidR="00B81C1A" w:rsidSect="004B6F1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81C1A" w:rsidRPr="00A2781E" w:rsidRDefault="00B81C1A" w:rsidP="00B81C1A">
      <w:pPr>
        <w:jc w:val="right"/>
        <w:rPr>
          <w:b/>
          <w:color w:val="0D0D0D"/>
        </w:rPr>
      </w:pPr>
      <w:r>
        <w:rPr>
          <w:b/>
          <w:color w:val="0D0D0D"/>
        </w:rPr>
        <w:lastRenderedPageBreak/>
        <w:t>У</w:t>
      </w:r>
      <w:r w:rsidRPr="00A2781E">
        <w:rPr>
          <w:b/>
          <w:color w:val="0D0D0D"/>
        </w:rPr>
        <w:t>тверждена</w:t>
      </w:r>
    </w:p>
    <w:p w:rsidR="00B81C1A" w:rsidRPr="00A2781E" w:rsidRDefault="00B81C1A" w:rsidP="00B81C1A">
      <w:pPr>
        <w:jc w:val="right"/>
        <w:rPr>
          <w:color w:val="0D0D0D"/>
        </w:rPr>
      </w:pPr>
      <w:r w:rsidRPr="00A2781E">
        <w:rPr>
          <w:color w:val="0D0D0D"/>
        </w:rPr>
        <w:t xml:space="preserve">                                                                         постановлением администрации </w:t>
      </w:r>
    </w:p>
    <w:p w:rsidR="00B81C1A" w:rsidRPr="00A2781E" w:rsidRDefault="00B81C1A" w:rsidP="00B81C1A">
      <w:pPr>
        <w:jc w:val="right"/>
        <w:rPr>
          <w:color w:val="0D0D0D"/>
        </w:rPr>
      </w:pPr>
      <w:r w:rsidRPr="00A2781E">
        <w:rPr>
          <w:color w:val="0D0D0D"/>
        </w:rPr>
        <w:t xml:space="preserve">                                                                              </w:t>
      </w:r>
      <w:proofErr w:type="spellStart"/>
      <w:r>
        <w:rPr>
          <w:color w:val="0D0D0D"/>
        </w:rPr>
        <w:t>Сутчевского</w:t>
      </w:r>
      <w:proofErr w:type="spellEnd"/>
      <w:r w:rsidRPr="00A2781E">
        <w:rPr>
          <w:color w:val="0D0D0D"/>
        </w:rPr>
        <w:t xml:space="preserve"> сельского поселения</w:t>
      </w:r>
    </w:p>
    <w:p w:rsidR="00B81C1A" w:rsidRDefault="00B81C1A" w:rsidP="00B81C1A">
      <w:pPr>
        <w:jc w:val="right"/>
        <w:rPr>
          <w:color w:val="0D0D0D"/>
        </w:rPr>
      </w:pPr>
      <w:r w:rsidRPr="00A2781E">
        <w:rPr>
          <w:color w:val="0D0D0D"/>
        </w:rPr>
        <w:t xml:space="preserve">                                                                                        от </w:t>
      </w:r>
      <w:r w:rsidR="006F3472">
        <w:rPr>
          <w:color w:val="0D0D0D"/>
        </w:rPr>
        <w:t>01</w:t>
      </w:r>
      <w:r w:rsidRPr="00A2781E">
        <w:rPr>
          <w:color w:val="0D0D0D"/>
        </w:rPr>
        <w:t xml:space="preserve"> </w:t>
      </w:r>
      <w:r w:rsidR="006F3472">
        <w:rPr>
          <w:color w:val="0D0D0D"/>
        </w:rPr>
        <w:t>июля</w:t>
      </w:r>
      <w:r>
        <w:rPr>
          <w:color w:val="0D0D0D"/>
        </w:rPr>
        <w:t xml:space="preserve"> 20</w:t>
      </w:r>
      <w:r w:rsidR="00DA0165">
        <w:rPr>
          <w:color w:val="0D0D0D"/>
        </w:rPr>
        <w:t>2</w:t>
      </w:r>
      <w:r w:rsidR="006F3472">
        <w:rPr>
          <w:color w:val="0D0D0D"/>
        </w:rPr>
        <w:t>1</w:t>
      </w:r>
      <w:r>
        <w:rPr>
          <w:color w:val="0D0D0D"/>
        </w:rPr>
        <w:t xml:space="preserve"> г. № </w:t>
      </w:r>
      <w:r w:rsidR="00392C6D">
        <w:rPr>
          <w:color w:val="0D0D0D"/>
        </w:rPr>
        <w:t>45/1</w:t>
      </w:r>
    </w:p>
    <w:p w:rsidR="00B81C1A" w:rsidRDefault="00B81C1A" w:rsidP="00B81C1A">
      <w:pPr>
        <w:jc w:val="right"/>
        <w:rPr>
          <w:color w:val="0D0D0D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  <w:r w:rsidRPr="00B176BD">
        <w:rPr>
          <w:b/>
          <w:sz w:val="40"/>
          <w:szCs w:val="40"/>
        </w:rPr>
        <w:t xml:space="preserve">ПРОГРАММА </w:t>
      </w:r>
      <w:r>
        <w:rPr>
          <w:b/>
          <w:sz w:val="40"/>
          <w:szCs w:val="40"/>
        </w:rPr>
        <w:t>энергосбережения и повышения</w:t>
      </w:r>
      <w:r w:rsidRPr="003D2662">
        <w:rPr>
          <w:b/>
          <w:sz w:val="40"/>
          <w:szCs w:val="40"/>
        </w:rPr>
        <w:t xml:space="preserve"> энергетической эффективнос</w:t>
      </w:r>
      <w:r>
        <w:rPr>
          <w:b/>
          <w:sz w:val="40"/>
          <w:szCs w:val="40"/>
        </w:rPr>
        <w:t>ТИ</w:t>
      </w:r>
    </w:p>
    <w:p w:rsidR="00B81C1A" w:rsidRDefault="00B81C1A" w:rsidP="00B81C1A">
      <w:pPr>
        <w:pStyle w:val="af1"/>
        <w:spacing w:line="240" w:lineRule="auto"/>
        <w:ind w:right="-24"/>
        <w:rPr>
          <w:b/>
          <w:sz w:val="40"/>
          <w:szCs w:val="40"/>
        </w:rPr>
      </w:pPr>
    </w:p>
    <w:p w:rsidR="00B81C1A" w:rsidRPr="00A10925" w:rsidRDefault="00B81C1A" w:rsidP="00B81C1A">
      <w:pPr>
        <w:pStyle w:val="af1"/>
        <w:ind w:right="-24"/>
        <w:rPr>
          <w:b/>
          <w:sz w:val="40"/>
          <w:szCs w:val="40"/>
          <w:u w:val="single"/>
        </w:rPr>
      </w:pPr>
      <w:r w:rsidRPr="00A10925">
        <w:rPr>
          <w:b/>
          <w:sz w:val="40"/>
          <w:szCs w:val="40"/>
          <w:u w:val="single"/>
        </w:rPr>
        <w:t xml:space="preserve">Администрации </w:t>
      </w:r>
    </w:p>
    <w:p w:rsidR="00B81C1A" w:rsidRDefault="00B81C1A" w:rsidP="00B81C1A">
      <w:pPr>
        <w:pStyle w:val="af1"/>
        <w:ind w:right="-24"/>
        <w:rPr>
          <w:b/>
          <w:sz w:val="40"/>
          <w:szCs w:val="40"/>
          <w:u w:val="single"/>
        </w:rPr>
      </w:pPr>
      <w:r w:rsidRPr="00A10925">
        <w:rPr>
          <w:b/>
          <w:sz w:val="40"/>
          <w:szCs w:val="40"/>
          <w:u w:val="single"/>
        </w:rPr>
        <w:t>Сутчевского сельского поселения Мариинско-Посадск</w:t>
      </w:r>
      <w:r>
        <w:rPr>
          <w:b/>
          <w:sz w:val="40"/>
          <w:szCs w:val="40"/>
          <w:u w:val="single"/>
        </w:rPr>
        <w:t>ого района Чувашской Республики</w:t>
      </w:r>
    </w:p>
    <w:p w:rsidR="00B81C1A" w:rsidRPr="00A10925" w:rsidRDefault="00B81C1A" w:rsidP="00B81C1A">
      <w:pPr>
        <w:pStyle w:val="af1"/>
        <w:ind w:right="-24"/>
        <w:rPr>
          <w:b/>
          <w:sz w:val="40"/>
          <w:szCs w:val="40"/>
          <w:u w:val="single"/>
        </w:rPr>
      </w:pPr>
    </w:p>
    <w:p w:rsidR="00B81C1A" w:rsidRDefault="00B81C1A" w:rsidP="00B81C1A">
      <w:pPr>
        <w:pStyle w:val="af1"/>
        <w:ind w:right="-24"/>
        <w:rPr>
          <w:b/>
          <w:sz w:val="40"/>
          <w:szCs w:val="40"/>
        </w:rPr>
      </w:pPr>
      <w:r w:rsidRPr="00A10925">
        <w:rPr>
          <w:b/>
          <w:sz w:val="40"/>
          <w:szCs w:val="40"/>
        </w:rPr>
        <w:t>на 2021-2023 гг.</w:t>
      </w:r>
    </w:p>
    <w:p w:rsidR="00B81C1A" w:rsidRDefault="00B81C1A" w:rsidP="00B81C1A">
      <w:pPr>
        <w:pStyle w:val="af1"/>
        <w:spacing w:line="360" w:lineRule="auto"/>
        <w:ind w:left="1745"/>
        <w:jc w:val="left"/>
      </w:pPr>
    </w:p>
    <w:p w:rsidR="00B81C1A" w:rsidRPr="000C6F3B" w:rsidRDefault="00B81C1A" w:rsidP="00B81C1A">
      <w:pPr>
        <w:pStyle w:val="af1"/>
        <w:ind w:left="1418"/>
      </w:pPr>
    </w:p>
    <w:p w:rsidR="00B81C1A" w:rsidRPr="00B361F0" w:rsidRDefault="00B81C1A" w:rsidP="00B81C1A">
      <w:pPr>
        <w:ind w:left="1418"/>
        <w:rPr>
          <w:sz w:val="28"/>
          <w:szCs w:val="28"/>
        </w:rPr>
        <w:sectPr w:rsidR="00B81C1A" w:rsidRPr="00B361F0" w:rsidSect="00B81C1A">
          <w:footerReference w:type="default" r:id="rId6"/>
          <w:pgSz w:w="11920" w:h="16860"/>
          <w:pgMar w:top="560" w:right="1005" w:bottom="1120" w:left="1300" w:header="720" w:footer="927" w:gutter="0"/>
          <w:pgNumType w:start="1"/>
          <w:cols w:space="720"/>
        </w:sectPr>
      </w:pPr>
    </w:p>
    <w:p w:rsidR="00B81C1A" w:rsidRPr="00B81C1A" w:rsidRDefault="00B81C1A" w:rsidP="00B81C1A">
      <w:pPr>
        <w:pStyle w:val="11"/>
        <w:numPr>
          <w:ilvl w:val="0"/>
          <w:numId w:val="2"/>
        </w:numPr>
        <w:tabs>
          <w:tab w:val="left" w:pos="1341"/>
        </w:tabs>
        <w:spacing w:before="0" w:after="120"/>
        <w:rPr>
          <w:i/>
        </w:rPr>
      </w:pPr>
      <w:r w:rsidRPr="00B81C1A">
        <w:rPr>
          <w:i/>
        </w:rPr>
        <w:lastRenderedPageBreak/>
        <w:t>Паспорт программы энергосбережения и повышения энергетической эффективности.</w:t>
      </w:r>
    </w:p>
    <w:p w:rsidR="00B81C1A" w:rsidRPr="00B81C1A" w:rsidRDefault="00B81C1A" w:rsidP="00B81C1A">
      <w:pPr>
        <w:pStyle w:val="a7"/>
        <w:ind w:left="399" w:right="863" w:firstLine="27"/>
        <w:jc w:val="center"/>
      </w:pPr>
      <w:r w:rsidRPr="00B81C1A">
        <w:t>ПАСПОРТ</w:t>
      </w:r>
      <w:r w:rsidRPr="00B81C1A">
        <w:br/>
        <w:t>ПРОГРАММЫ ЭНЕРГОСБЕРЕЖЕНИЯ И ПОВЫШЕНИЯ ЭНЕРГЕТИЧЕСКОЙ ЭФФЕКТИВНОСТИ</w:t>
      </w:r>
    </w:p>
    <w:p w:rsidR="00B81C1A" w:rsidRPr="00B81C1A" w:rsidRDefault="00B81C1A" w:rsidP="00B81C1A">
      <w:pPr>
        <w:pStyle w:val="a7"/>
        <w:ind w:left="399" w:right="863" w:firstLine="27"/>
        <w:jc w:val="center"/>
      </w:pPr>
    </w:p>
    <w:p w:rsidR="00B81C1A" w:rsidRPr="00B81C1A" w:rsidRDefault="00B81C1A" w:rsidP="00B81C1A">
      <w:pPr>
        <w:pStyle w:val="a7"/>
        <w:ind w:left="399" w:right="863" w:firstLine="27"/>
        <w:jc w:val="center"/>
        <w:rPr>
          <w:u w:val="single"/>
        </w:rPr>
      </w:pPr>
      <w:r w:rsidRPr="00B81C1A">
        <w:rPr>
          <w:u w:val="single"/>
        </w:rPr>
        <w:t xml:space="preserve">Администрации </w:t>
      </w:r>
      <w:proofErr w:type="spellStart"/>
      <w:r w:rsidRPr="00B81C1A">
        <w:rPr>
          <w:u w:val="single"/>
        </w:rPr>
        <w:t>Сутчевского</w:t>
      </w:r>
      <w:proofErr w:type="spellEnd"/>
      <w:r w:rsidRPr="00B81C1A">
        <w:rPr>
          <w:u w:val="single"/>
        </w:rPr>
        <w:t xml:space="preserve"> сельского поселения  </w:t>
      </w:r>
    </w:p>
    <w:p w:rsidR="00B81C1A" w:rsidRPr="00B81C1A" w:rsidRDefault="00B81C1A" w:rsidP="00B81C1A">
      <w:pPr>
        <w:pStyle w:val="a7"/>
        <w:ind w:left="399" w:right="863" w:firstLine="27"/>
        <w:jc w:val="center"/>
        <w:rPr>
          <w:u w:val="single"/>
        </w:rPr>
      </w:pPr>
      <w:r w:rsidRPr="00B81C1A">
        <w:rPr>
          <w:u w:val="single"/>
        </w:rPr>
        <w:t>Мариинско-Посадского района Чувашской Республики</w:t>
      </w:r>
    </w:p>
    <w:p w:rsidR="00B81C1A" w:rsidRPr="00B81C1A" w:rsidRDefault="00B81C1A" w:rsidP="00B81C1A">
      <w:pPr>
        <w:pStyle w:val="a7"/>
        <w:ind w:left="399" w:right="863" w:firstLine="27"/>
        <w:jc w:val="center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7513"/>
      </w:tblGrid>
      <w:tr w:rsidR="00B81C1A" w:rsidRPr="00B81C1A" w:rsidTr="00AF7BB6">
        <w:trPr>
          <w:trHeight w:val="1123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Полное наименование организации</w:t>
            </w:r>
          </w:p>
        </w:tc>
        <w:tc>
          <w:tcPr>
            <w:tcW w:w="7513" w:type="dxa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Администрация </w:t>
            </w:r>
            <w:proofErr w:type="spellStart"/>
            <w:r w:rsidRPr="00B81C1A">
              <w:t>Сутчевского</w:t>
            </w:r>
            <w:proofErr w:type="spellEnd"/>
            <w:r w:rsidRPr="00B81C1A">
              <w:t xml:space="preserve"> сельского поселения  Мариинско-Посадского района Чувашской Республики</w:t>
            </w:r>
          </w:p>
        </w:tc>
      </w:tr>
      <w:tr w:rsidR="00B81C1A" w:rsidRPr="00B81C1A" w:rsidTr="00AF7BB6">
        <w:trPr>
          <w:trHeight w:val="2519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Основание для разработки программы</w:t>
            </w:r>
          </w:p>
        </w:tc>
        <w:tc>
          <w:tcPr>
            <w:tcW w:w="7513" w:type="dxa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Закон Российской Федерации от 23.11.2009 года № 261-ФЗ «Об энергосбережении и повышении </w:t>
            </w:r>
            <w:proofErr w:type="spellStart"/>
            <w:r w:rsidRPr="00B81C1A">
              <w:t>энергоэффективности</w:t>
            </w:r>
            <w:proofErr w:type="spellEnd"/>
            <w:r w:rsidRPr="00B81C1A">
              <w:t>» (ред. от 03.07.2016).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№33449).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Постановление Администрации Мариинско-Посадского района Чувашской Республики от 21 декабря 2021 года №722 «Об установлении целевого уровня снижения в сопоставимых условиях суммарного объема потребляемых Администрациями сельских поселений Мариинско-Посадского района энергетических ресурсов и воды на трехлетний период с 2021 года»</w:t>
            </w:r>
          </w:p>
        </w:tc>
      </w:tr>
      <w:tr w:rsidR="00B81C1A" w:rsidRPr="00B81C1A" w:rsidTr="00AF7BB6">
        <w:trPr>
          <w:trHeight w:val="132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Полное наименование исполнителей и (или) соисполнителей программы</w:t>
            </w:r>
          </w:p>
        </w:tc>
        <w:tc>
          <w:tcPr>
            <w:tcW w:w="7513" w:type="dxa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Администрация </w:t>
            </w:r>
            <w:proofErr w:type="spellStart"/>
            <w:r w:rsidRPr="00B81C1A">
              <w:t>Сутчевского</w:t>
            </w:r>
            <w:proofErr w:type="spellEnd"/>
            <w:r w:rsidRPr="00B81C1A">
              <w:t xml:space="preserve"> сельского поселения  Мариинско-Посадского района Чувашской Республики</w:t>
            </w:r>
          </w:p>
        </w:tc>
      </w:tr>
      <w:tr w:rsidR="00B81C1A" w:rsidRPr="00B81C1A" w:rsidTr="00AF7BB6">
        <w:trPr>
          <w:trHeight w:val="414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Полное наименование разработчиков программы</w:t>
            </w:r>
          </w:p>
        </w:tc>
        <w:tc>
          <w:tcPr>
            <w:tcW w:w="7513" w:type="dxa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  <w:rPr>
                <w:lang w:bidi="ar-SA"/>
              </w:rPr>
            </w:pPr>
            <w:r w:rsidRPr="00B81C1A">
              <w:rPr>
                <w:lang w:bidi="ar-SA"/>
              </w:rPr>
              <w:t xml:space="preserve">Администрация </w:t>
            </w:r>
            <w:proofErr w:type="spellStart"/>
            <w:r w:rsidRPr="00B81C1A">
              <w:rPr>
                <w:lang w:bidi="ar-SA"/>
              </w:rPr>
              <w:t>Сутчевского</w:t>
            </w:r>
            <w:proofErr w:type="spellEnd"/>
            <w:r w:rsidRPr="00B81C1A">
              <w:rPr>
                <w:lang w:bidi="ar-SA"/>
              </w:rPr>
              <w:t xml:space="preserve"> сельского поселения  Мариинско-Посадского района Чувашской Республики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  <w:rPr>
                <w:lang w:bidi="ar-SA"/>
              </w:rPr>
            </w:pPr>
            <w:r w:rsidRPr="00B81C1A">
              <w:rPr>
                <w:lang w:bidi="ar-SA"/>
              </w:rPr>
              <w:t>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</w:tr>
      <w:tr w:rsidR="00B81C1A" w:rsidRPr="00B81C1A" w:rsidTr="00AF7BB6">
        <w:trPr>
          <w:trHeight w:val="426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Цели программы</w:t>
            </w:r>
          </w:p>
        </w:tc>
        <w:tc>
          <w:tcPr>
            <w:tcW w:w="7513" w:type="dxa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1. Достижение целевых показателей энергосбережения и повышения энергетической эффективности, установленных Федеральным законом Российской Федерации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</w:t>
            </w:r>
            <w:r w:rsidRPr="00B81C1A">
              <w:lastRenderedPageBreak/>
              <w:t>Федерации» (ред. от 03.07.2016) и другими правовыми документами.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2. Повышение эффективности использования топливно-энергетических ресурсов и воды</w:t>
            </w:r>
          </w:p>
        </w:tc>
      </w:tr>
      <w:tr w:rsidR="00B81C1A" w:rsidRPr="00B81C1A" w:rsidTr="00AF7BB6">
        <w:trPr>
          <w:trHeight w:val="157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lastRenderedPageBreak/>
              <w:t>Задачи программы</w:t>
            </w:r>
          </w:p>
        </w:tc>
        <w:tc>
          <w:tcPr>
            <w:tcW w:w="7513" w:type="dxa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- внедрение новых энергосберегающих технологий, оборудования в Учреждении; 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- сокращение расходов на энергообеспечение; 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 xml:space="preserve">- снижение объёмов потребляемых энергетических ресурсов; 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- повышение уровня рационального использования ТЭР за счёт внедрения энергосберегающих мероприятий.</w:t>
            </w:r>
          </w:p>
        </w:tc>
      </w:tr>
      <w:tr w:rsidR="00B81C1A" w:rsidRPr="00B81C1A" w:rsidTr="00AF7BB6">
        <w:trPr>
          <w:trHeight w:val="157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Целевые показатели программы</w:t>
            </w:r>
          </w:p>
        </w:tc>
        <w:tc>
          <w:tcPr>
            <w:tcW w:w="7513" w:type="dxa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- Целевые показатели, характеризующие удельные расходы энергетических ресурсов.</w:t>
            </w:r>
          </w:p>
        </w:tc>
      </w:tr>
      <w:tr w:rsidR="00B81C1A" w:rsidRPr="00B81C1A" w:rsidTr="00AF7BB6">
        <w:trPr>
          <w:trHeight w:val="157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Сроки реализации программы</w:t>
            </w:r>
          </w:p>
        </w:tc>
        <w:tc>
          <w:tcPr>
            <w:tcW w:w="7513" w:type="dxa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1701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Источники и объемы финансового обеспечения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B81C1A" w:rsidRPr="00B81C1A" w:rsidRDefault="00B81C1A" w:rsidP="00AF7BB6">
            <w:pPr>
              <w:pStyle w:val="a7"/>
              <w:ind w:right="127"/>
              <w:jc w:val="both"/>
              <w:rPr>
                <w:highlight w:val="yellow"/>
              </w:rPr>
            </w:pPr>
            <w:r w:rsidRPr="00B81C1A">
              <w:t xml:space="preserve">Программа энергосбережения предусматривает выполнение организационных </w:t>
            </w:r>
            <w:proofErr w:type="spellStart"/>
            <w:r w:rsidRPr="00B81C1A">
              <w:t>беззатратных</w:t>
            </w:r>
            <w:proofErr w:type="spellEnd"/>
            <w:r w:rsidRPr="00B81C1A">
              <w:t xml:space="preserve"> мероприятий.</w:t>
            </w:r>
          </w:p>
        </w:tc>
      </w:tr>
      <w:tr w:rsidR="00B81C1A" w:rsidRPr="00B81C1A" w:rsidTr="00AF7BB6">
        <w:trPr>
          <w:trHeight w:val="702"/>
        </w:trPr>
        <w:tc>
          <w:tcPr>
            <w:tcW w:w="2296" w:type="dxa"/>
            <w:vAlign w:val="center"/>
          </w:tcPr>
          <w:p w:rsidR="00B81C1A" w:rsidRPr="00B81C1A" w:rsidRDefault="00B81C1A" w:rsidP="00AF7BB6">
            <w:pPr>
              <w:pStyle w:val="a7"/>
              <w:jc w:val="both"/>
            </w:pPr>
            <w:r w:rsidRPr="00B81C1A">
              <w:t>Планируемые результаты реализации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1C1A" w:rsidRPr="00B81C1A" w:rsidRDefault="00B81C1A" w:rsidP="00AF7BB6">
            <w:pPr>
              <w:pStyle w:val="a7"/>
              <w:ind w:right="127"/>
              <w:jc w:val="both"/>
            </w:pPr>
            <w:r w:rsidRPr="00B81C1A">
              <w:t>Поддержание уровня удельных показателей на уровне базового года.</w:t>
            </w:r>
          </w:p>
        </w:tc>
      </w:tr>
    </w:tbl>
    <w:p w:rsidR="00B81C1A" w:rsidRPr="00B81C1A" w:rsidRDefault="00B81C1A" w:rsidP="00B81C1A">
      <w:pPr>
        <w:pStyle w:val="a7"/>
        <w:ind w:left="399" w:right="863" w:firstLine="710"/>
        <w:jc w:val="both"/>
        <w:sectPr w:rsidR="00B81C1A" w:rsidRPr="00B81C1A">
          <w:footerReference w:type="default" r:id="rId7"/>
          <w:pgSz w:w="11920" w:h="16860"/>
          <w:pgMar w:top="640" w:right="0" w:bottom="1120" w:left="1300" w:header="0" w:footer="927" w:gutter="0"/>
          <w:cols w:space="720"/>
        </w:sectPr>
      </w:pPr>
    </w:p>
    <w:p w:rsidR="00B81C1A" w:rsidRPr="00B81C1A" w:rsidRDefault="00B81C1A" w:rsidP="00B81C1A">
      <w:pPr>
        <w:pStyle w:val="11"/>
        <w:tabs>
          <w:tab w:val="left" w:pos="1341"/>
        </w:tabs>
        <w:spacing w:before="0" w:after="120"/>
        <w:ind w:left="0"/>
        <w:jc w:val="center"/>
        <w:rPr>
          <w:i/>
        </w:rPr>
      </w:pPr>
      <w:bookmarkStart w:id="0" w:name="2_Основания_для_разработки_настоящей_Про"/>
      <w:bookmarkStart w:id="1" w:name="_bookmark1"/>
      <w:bookmarkEnd w:id="0"/>
      <w:bookmarkEnd w:id="1"/>
      <w:r w:rsidRPr="00B81C1A">
        <w:rPr>
          <w:spacing w:val="8"/>
        </w:rPr>
        <w:lastRenderedPageBreak/>
        <w:t>2</w:t>
      </w:r>
      <w:r w:rsidRPr="00B81C1A">
        <w:rPr>
          <w:i/>
          <w:spacing w:val="8"/>
        </w:rPr>
        <w:t xml:space="preserve">. Основания </w:t>
      </w:r>
      <w:r w:rsidRPr="00B81C1A">
        <w:rPr>
          <w:i/>
          <w:spacing w:val="5"/>
        </w:rPr>
        <w:t xml:space="preserve">для </w:t>
      </w:r>
      <w:r w:rsidRPr="00B81C1A">
        <w:rPr>
          <w:i/>
          <w:spacing w:val="9"/>
        </w:rPr>
        <w:t xml:space="preserve">разработки настоящей </w:t>
      </w:r>
      <w:r w:rsidRPr="00B81C1A">
        <w:rPr>
          <w:i/>
          <w:spacing w:val="8"/>
        </w:rPr>
        <w:t xml:space="preserve">Программы </w:t>
      </w:r>
      <w:r w:rsidRPr="00B81C1A">
        <w:rPr>
          <w:i/>
          <w:spacing w:val="9"/>
        </w:rPr>
        <w:t xml:space="preserve">энергосбережения </w:t>
      </w:r>
      <w:r w:rsidRPr="00B81C1A">
        <w:rPr>
          <w:i/>
        </w:rPr>
        <w:t>и область ее</w:t>
      </w:r>
      <w:r w:rsidRPr="00B81C1A">
        <w:rPr>
          <w:i/>
          <w:spacing w:val="2"/>
        </w:rPr>
        <w:t xml:space="preserve"> </w:t>
      </w:r>
      <w:r w:rsidRPr="00B81C1A">
        <w:rPr>
          <w:i/>
        </w:rPr>
        <w:t>распространения.</w:t>
      </w:r>
    </w:p>
    <w:p w:rsidR="00B81C1A" w:rsidRPr="00B81C1A" w:rsidRDefault="00B81C1A" w:rsidP="00B81C1A">
      <w:pPr>
        <w:pStyle w:val="a7"/>
        <w:ind w:right="-1" w:firstLine="993"/>
        <w:jc w:val="both"/>
      </w:pP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Необходимость разработки программы энергосбережения учреждения определена Федеральным законом РФ от 23.11.2009 г. №261 «Об энергосбережении и о повышении энергетической эффективности, и о внесении изменений в отдельные законодательные акты РФ» с учетом требований нормативных документов, устанавливающих форму и содержание программ энергосбережения бюджетных организаций с участием государства и муниципального образования. Далее перечень основных нормативных документов в области энергосбережения и повышения энергетической эффективности:</w:t>
      </w:r>
    </w:p>
    <w:p w:rsidR="00B81C1A" w:rsidRPr="00B81C1A" w:rsidRDefault="00B81C1A" w:rsidP="00B81C1A">
      <w:pPr>
        <w:numPr>
          <w:ilvl w:val="0"/>
          <w:numId w:val="4"/>
        </w:numPr>
        <w:tabs>
          <w:tab w:val="num" w:pos="0"/>
        </w:tabs>
        <w:ind w:left="0" w:firstLine="1228"/>
        <w:jc w:val="both"/>
        <w:rPr>
          <w:iCs/>
        </w:rPr>
      </w:pPr>
      <w:r w:rsidRPr="00B81C1A">
        <w:rPr>
          <w:color w:val="000000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Pr="00B81C1A">
        <w:rPr>
          <w:iCs/>
        </w:rPr>
        <w:t>, осуществляющих регулируемые виды деятельности, и отчетности о ходе их реализации»;</w:t>
      </w:r>
    </w:p>
    <w:p w:rsidR="00B81C1A" w:rsidRPr="00B81C1A" w:rsidRDefault="00B81C1A" w:rsidP="00B81C1A">
      <w:pPr>
        <w:numPr>
          <w:ilvl w:val="0"/>
          <w:numId w:val="4"/>
        </w:numPr>
        <w:tabs>
          <w:tab w:val="num" w:pos="0"/>
        </w:tabs>
        <w:ind w:left="0" w:firstLine="1228"/>
        <w:jc w:val="both"/>
        <w:rPr>
          <w:iCs/>
        </w:rPr>
      </w:pPr>
      <w:r w:rsidRPr="00B81C1A">
        <w:rPr>
          <w:iCs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B81C1A" w:rsidRPr="00B81C1A" w:rsidRDefault="00B81C1A" w:rsidP="00B81C1A">
      <w:pPr>
        <w:numPr>
          <w:ilvl w:val="0"/>
          <w:numId w:val="4"/>
        </w:numPr>
        <w:tabs>
          <w:tab w:val="num" w:pos="0"/>
        </w:tabs>
        <w:ind w:left="0" w:firstLine="1228"/>
        <w:jc w:val="both"/>
        <w:rPr>
          <w:iCs/>
        </w:rPr>
      </w:pPr>
      <w:r w:rsidRPr="00B81C1A"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 w:rsidR="00B81C1A" w:rsidRPr="00B81C1A" w:rsidRDefault="00B81C1A" w:rsidP="00B81C1A">
      <w:pPr>
        <w:numPr>
          <w:ilvl w:val="0"/>
          <w:numId w:val="4"/>
        </w:numPr>
        <w:tabs>
          <w:tab w:val="num" w:pos="0"/>
        </w:tabs>
        <w:ind w:left="0" w:firstLine="1228"/>
        <w:jc w:val="both"/>
        <w:rPr>
          <w:iCs/>
        </w:rPr>
      </w:pPr>
      <w:r w:rsidRPr="00B81C1A">
        <w:rPr>
          <w:iCs/>
        </w:rPr>
        <w:t xml:space="preserve">Приказ Министерства энергетики РФ от 30 июня 2014 г. № 399 </w:t>
      </w:r>
      <w:r w:rsidRPr="00B81C1A">
        <w:rPr>
          <w:color w:val="000000"/>
        </w:rPr>
        <w:t>«</w:t>
      </w:r>
      <w:r w:rsidRPr="00B81C1A">
        <w:rPr>
          <w:iCs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B81C1A" w:rsidRPr="00B81C1A" w:rsidRDefault="00B81C1A" w:rsidP="00B81C1A">
      <w:pPr>
        <w:numPr>
          <w:ilvl w:val="0"/>
          <w:numId w:val="4"/>
        </w:numPr>
        <w:tabs>
          <w:tab w:val="clear" w:pos="1494"/>
          <w:tab w:val="num" w:pos="0"/>
        </w:tabs>
        <w:ind w:left="0" w:firstLine="1134"/>
        <w:jc w:val="both"/>
        <w:rPr>
          <w:iCs/>
        </w:rPr>
      </w:pPr>
      <w:r w:rsidRPr="00B81C1A">
        <w:t>Постановление Администрации Мариинско-Посадского района Чувашской Республики от 21 декабря 2021 года №722 «Об установлении целевого уровня снижения в сопоставимых условиях суммарного объема потребляемых Администрациями сельских поселений Мариинско-Посадского района энергетических ресурсов и воды на трехлетний период с 2021 года»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13"/>
        </w:tabs>
        <w:spacing w:before="0" w:after="120"/>
        <w:ind w:left="357" w:hanging="357"/>
        <w:jc w:val="center"/>
        <w:rPr>
          <w:i/>
        </w:rPr>
      </w:pPr>
      <w:bookmarkStart w:id="2" w:name="3_Термины_и_определения,_сокращения,_усл"/>
      <w:bookmarkStart w:id="3" w:name="_bookmark2"/>
      <w:bookmarkStart w:id="4" w:name="4_Введение"/>
      <w:bookmarkStart w:id="5" w:name="_bookmark3"/>
      <w:bookmarkEnd w:id="2"/>
      <w:bookmarkEnd w:id="3"/>
      <w:bookmarkEnd w:id="4"/>
      <w:bookmarkEnd w:id="5"/>
      <w:r w:rsidRPr="00B81C1A">
        <w:rPr>
          <w:i/>
          <w:spacing w:val="8"/>
        </w:rPr>
        <w:t>Введение</w:t>
      </w:r>
    </w:p>
    <w:p w:rsidR="00B81C1A" w:rsidRPr="00B81C1A" w:rsidRDefault="00B81C1A" w:rsidP="00B81C1A">
      <w:pPr>
        <w:pStyle w:val="a7"/>
        <w:ind w:right="-1" w:firstLine="993"/>
        <w:jc w:val="both"/>
      </w:pPr>
      <w:bookmarkStart w:id="6" w:name="4.1_Статус_Программы_энергосбережения_и_"/>
      <w:bookmarkStart w:id="7" w:name="_bookmark4"/>
      <w:bookmarkEnd w:id="6"/>
      <w:bookmarkEnd w:id="7"/>
      <w:r w:rsidRPr="00B81C1A">
        <w:t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(топливно-энергетические ресурсы) при полном удовлетворении потребностей в количестве и качестве ТЭР, превратить энергосбережение в один из решающих факторов функционирования.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13"/>
        </w:tabs>
        <w:spacing w:before="0" w:after="120"/>
        <w:ind w:left="204" w:hanging="204"/>
        <w:rPr>
          <w:i/>
        </w:rPr>
      </w:pPr>
      <w:r w:rsidRPr="00B81C1A">
        <w:rPr>
          <w:i/>
        </w:rPr>
        <w:t>Основные сведения учреждения и его деятельность</w:t>
      </w:r>
    </w:p>
    <w:tbl>
      <w:tblPr>
        <w:tblW w:w="98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4"/>
        <w:gridCol w:w="4913"/>
      </w:tblGrid>
      <w:tr w:rsidR="00B81C1A" w:rsidRPr="00B81C1A" w:rsidTr="00AF7BB6">
        <w:trPr>
          <w:trHeight w:val="1543"/>
          <w:jc w:val="center"/>
        </w:trPr>
        <w:tc>
          <w:tcPr>
            <w:tcW w:w="4914" w:type="dxa"/>
            <w:noWrap/>
            <w:vAlign w:val="center"/>
          </w:tcPr>
          <w:p w:rsidR="00B81C1A" w:rsidRPr="00B81C1A" w:rsidRDefault="00B81C1A" w:rsidP="00AF7BB6">
            <w:pPr>
              <w:pStyle w:val="ad"/>
              <w:ind w:firstLine="0"/>
            </w:pPr>
            <w:r w:rsidRPr="00B81C1A">
              <w:lastRenderedPageBreak/>
              <w:t>Юридический адрес</w:t>
            </w:r>
          </w:p>
        </w:tc>
        <w:tc>
          <w:tcPr>
            <w:tcW w:w="4913" w:type="dxa"/>
            <w:noWrap/>
            <w:vAlign w:val="center"/>
          </w:tcPr>
          <w:p w:rsidR="00B81C1A" w:rsidRPr="00B81C1A" w:rsidRDefault="00B81C1A" w:rsidP="00AF7BB6">
            <w:pPr>
              <w:rPr>
                <w:highlight w:val="yellow"/>
              </w:rPr>
            </w:pPr>
            <w:r w:rsidRPr="00B81C1A">
              <w:t>429587, Чувашская Республика - Чувашия, Мариинско-Посадский р-н, д. </w:t>
            </w:r>
            <w:proofErr w:type="spellStart"/>
            <w:r w:rsidRPr="00B81C1A">
              <w:t>Сутчево</w:t>
            </w:r>
            <w:proofErr w:type="spellEnd"/>
            <w:r w:rsidRPr="00B81C1A">
              <w:t>, ул. Новая, д. 15</w:t>
            </w:r>
          </w:p>
        </w:tc>
      </w:tr>
      <w:tr w:rsidR="00B81C1A" w:rsidRPr="00B81C1A" w:rsidTr="00AF7BB6">
        <w:trPr>
          <w:trHeight w:val="1676"/>
          <w:jc w:val="center"/>
        </w:trPr>
        <w:tc>
          <w:tcPr>
            <w:tcW w:w="4914" w:type="dxa"/>
            <w:noWrap/>
            <w:vAlign w:val="center"/>
          </w:tcPr>
          <w:p w:rsidR="00B81C1A" w:rsidRPr="00B81C1A" w:rsidRDefault="00B81C1A" w:rsidP="00AF7BB6">
            <w:r w:rsidRPr="00B81C1A">
              <w:t>Фактический адрес</w:t>
            </w:r>
          </w:p>
        </w:tc>
        <w:tc>
          <w:tcPr>
            <w:tcW w:w="4913" w:type="dxa"/>
            <w:noWrap/>
            <w:vAlign w:val="center"/>
          </w:tcPr>
          <w:p w:rsidR="00B81C1A" w:rsidRPr="00B81C1A" w:rsidRDefault="00B81C1A" w:rsidP="00AF7BB6">
            <w:pPr>
              <w:rPr>
                <w:highlight w:val="yellow"/>
              </w:rPr>
            </w:pPr>
            <w:r w:rsidRPr="00B81C1A">
              <w:t>429587, Чувашская Республика - Чувашия, Мариинско-Посадский р-н, д. </w:t>
            </w:r>
            <w:proofErr w:type="spellStart"/>
            <w:r w:rsidRPr="00B81C1A">
              <w:t>Сутчево</w:t>
            </w:r>
            <w:proofErr w:type="spellEnd"/>
            <w:r w:rsidRPr="00B81C1A">
              <w:t>, ул. Новая, д. 15</w:t>
            </w:r>
          </w:p>
        </w:tc>
      </w:tr>
      <w:tr w:rsidR="00B81C1A" w:rsidRPr="00B81C1A" w:rsidTr="00AF7BB6">
        <w:trPr>
          <w:trHeight w:val="1070"/>
          <w:jc w:val="center"/>
        </w:trPr>
        <w:tc>
          <w:tcPr>
            <w:tcW w:w="4914" w:type="dxa"/>
            <w:noWrap/>
            <w:vAlign w:val="center"/>
          </w:tcPr>
          <w:p w:rsidR="00B81C1A" w:rsidRPr="00B81C1A" w:rsidRDefault="00B81C1A" w:rsidP="00AF7BB6">
            <w:r w:rsidRPr="00B81C1A">
              <w:t>ИНН</w:t>
            </w:r>
          </w:p>
        </w:tc>
        <w:tc>
          <w:tcPr>
            <w:tcW w:w="4913" w:type="dxa"/>
            <w:noWrap/>
            <w:vAlign w:val="center"/>
          </w:tcPr>
          <w:p w:rsidR="00B81C1A" w:rsidRPr="00B81C1A" w:rsidRDefault="00B81C1A" w:rsidP="00AF7BB6">
            <w:pPr>
              <w:rPr>
                <w:highlight w:val="yellow"/>
              </w:rPr>
            </w:pPr>
            <w:r w:rsidRPr="00B81C1A">
              <w:t>2111007206</w:t>
            </w:r>
          </w:p>
        </w:tc>
      </w:tr>
    </w:tbl>
    <w:p w:rsidR="00B81C1A" w:rsidRPr="00B81C1A" w:rsidRDefault="00B81C1A" w:rsidP="00B81C1A">
      <w:pPr>
        <w:pStyle w:val="a7"/>
        <w:ind w:right="-1" w:firstLine="993"/>
        <w:jc w:val="both"/>
      </w:pP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Администрация </w:t>
      </w:r>
      <w:proofErr w:type="spellStart"/>
      <w:r w:rsidRPr="00B81C1A">
        <w:t>Сутчевского</w:t>
      </w:r>
      <w:proofErr w:type="spellEnd"/>
      <w:r w:rsidRPr="00B81C1A">
        <w:t xml:space="preserve"> сельского поселения Мариинско-Посадского района Чувашской Республики – орган местного самоуправления, осуществляющий исполнительно-распорядительные функции по решению вопросов местного значения и осуществления отдельных государственных полномочий, переданных федеральным законом или законом Чувашской Республики.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Порядок работы Администрации поселения определяется Положением и Уставом Администрации </w:t>
      </w:r>
      <w:proofErr w:type="spellStart"/>
      <w:r w:rsidRPr="00B81C1A">
        <w:t>Сутчевского</w:t>
      </w:r>
      <w:proofErr w:type="spellEnd"/>
      <w:r w:rsidRPr="00B81C1A">
        <w:t xml:space="preserve"> сельского поселения Мариинско-Посадского района Чувашской Республики.</w:t>
      </w:r>
    </w:p>
    <w:p w:rsidR="00B81C1A" w:rsidRPr="00B81C1A" w:rsidRDefault="00B81C1A" w:rsidP="00B81C1A">
      <w:pPr>
        <w:pStyle w:val="a7"/>
        <w:ind w:right="-1" w:firstLine="993"/>
        <w:jc w:val="both"/>
      </w:pP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spacing w:before="0" w:after="120"/>
        <w:jc w:val="center"/>
        <w:rPr>
          <w:i/>
        </w:rPr>
      </w:pPr>
      <w:bookmarkStart w:id="8" w:name="5_Анализ_существующего_положения_Учрежде"/>
      <w:bookmarkStart w:id="9" w:name="_bookmark7"/>
      <w:bookmarkEnd w:id="8"/>
      <w:bookmarkEnd w:id="9"/>
      <w:r w:rsidRPr="00B81C1A">
        <w:rPr>
          <w:i/>
          <w:spacing w:val="2"/>
        </w:rPr>
        <w:t xml:space="preserve">Анализ существующего положения Учреждения </w:t>
      </w:r>
      <w:r w:rsidRPr="00B81C1A">
        <w:rPr>
          <w:i/>
        </w:rPr>
        <w:t xml:space="preserve">в области </w:t>
      </w:r>
      <w:r w:rsidRPr="00B81C1A">
        <w:rPr>
          <w:i/>
          <w:spacing w:val="2"/>
        </w:rPr>
        <w:t xml:space="preserve">энергосбережения </w:t>
      </w:r>
      <w:r w:rsidRPr="00B81C1A">
        <w:rPr>
          <w:i/>
        </w:rPr>
        <w:t xml:space="preserve">и </w:t>
      </w:r>
      <w:r w:rsidRPr="00B81C1A">
        <w:rPr>
          <w:i/>
          <w:spacing w:val="-5"/>
        </w:rPr>
        <w:t>повышения</w:t>
      </w:r>
      <w:r w:rsidRPr="00B81C1A">
        <w:rPr>
          <w:i/>
          <w:spacing w:val="-11"/>
        </w:rPr>
        <w:t xml:space="preserve"> </w:t>
      </w:r>
      <w:proofErr w:type="spellStart"/>
      <w:r w:rsidRPr="00B81C1A">
        <w:rPr>
          <w:i/>
          <w:spacing w:val="-4"/>
        </w:rPr>
        <w:t>энергоэффективности</w:t>
      </w:r>
      <w:proofErr w:type="spellEnd"/>
    </w:p>
    <w:p w:rsidR="00B81C1A" w:rsidRPr="00B81C1A" w:rsidRDefault="00B81C1A" w:rsidP="00B81C1A">
      <w:pPr>
        <w:shd w:val="clear" w:color="auto" w:fill="FFFFFF"/>
        <w:spacing w:line="300" w:lineRule="atLeast"/>
        <w:ind w:firstLine="720"/>
        <w:jc w:val="both"/>
        <w:rPr>
          <w:color w:val="000000"/>
          <w:bdr w:val="none" w:sz="0" w:space="0" w:color="auto" w:frame="1"/>
        </w:rPr>
      </w:pPr>
      <w:r w:rsidRPr="00B81C1A">
        <w:rPr>
          <w:color w:val="000000"/>
          <w:bdr w:val="none" w:sz="0" w:space="0" w:color="auto" w:frame="1"/>
        </w:rPr>
        <w:t xml:space="preserve">Юридический и фактический адрес Администрации </w:t>
      </w:r>
      <w:proofErr w:type="spellStart"/>
      <w:r w:rsidRPr="00B81C1A">
        <w:rPr>
          <w:color w:val="000000"/>
          <w:bdr w:val="none" w:sz="0" w:space="0" w:color="auto" w:frame="1"/>
        </w:rPr>
        <w:t>Сутчевского</w:t>
      </w:r>
      <w:proofErr w:type="spellEnd"/>
      <w:r w:rsidRPr="00B81C1A">
        <w:rPr>
          <w:color w:val="000000"/>
          <w:bdr w:val="none" w:sz="0" w:space="0" w:color="auto" w:frame="1"/>
        </w:rPr>
        <w:t xml:space="preserve"> сельского поселения  Мариинско-Посадского района Чувашской Республики: 429587, Чувашская Республика - Чувашия, Мариинско-Посадский р-н, </w:t>
      </w:r>
      <w:proofErr w:type="spellStart"/>
      <w:r w:rsidRPr="00B81C1A">
        <w:rPr>
          <w:color w:val="000000"/>
          <w:bdr w:val="none" w:sz="0" w:space="0" w:color="auto" w:frame="1"/>
        </w:rPr>
        <w:t>д</w:t>
      </w:r>
      <w:proofErr w:type="gramStart"/>
      <w:r w:rsidRPr="00B81C1A">
        <w:rPr>
          <w:color w:val="000000"/>
          <w:bdr w:val="none" w:sz="0" w:space="0" w:color="auto" w:frame="1"/>
        </w:rPr>
        <w:t>.С</w:t>
      </w:r>
      <w:proofErr w:type="gramEnd"/>
      <w:r w:rsidRPr="00B81C1A">
        <w:rPr>
          <w:color w:val="000000"/>
          <w:bdr w:val="none" w:sz="0" w:space="0" w:color="auto" w:frame="1"/>
        </w:rPr>
        <w:t>утчево</w:t>
      </w:r>
      <w:proofErr w:type="spellEnd"/>
      <w:r w:rsidRPr="00B81C1A">
        <w:rPr>
          <w:color w:val="000000"/>
          <w:bdr w:val="none" w:sz="0" w:space="0" w:color="auto" w:frame="1"/>
        </w:rPr>
        <w:t>, ул. Новая, д.15.</w:t>
      </w:r>
    </w:p>
    <w:p w:rsidR="00B81C1A" w:rsidRPr="00B81C1A" w:rsidRDefault="00B81C1A" w:rsidP="00B81C1A">
      <w:pPr>
        <w:shd w:val="clear" w:color="auto" w:fill="FFFFFF"/>
        <w:spacing w:line="300" w:lineRule="atLeast"/>
        <w:ind w:firstLine="720"/>
        <w:jc w:val="both"/>
        <w:rPr>
          <w:color w:val="000000"/>
          <w:bdr w:val="none" w:sz="0" w:space="0" w:color="auto" w:frame="1"/>
        </w:rPr>
      </w:pPr>
    </w:p>
    <w:p w:rsidR="00B81C1A" w:rsidRPr="00B81C1A" w:rsidRDefault="00B81C1A" w:rsidP="00B81C1A">
      <w:pPr>
        <w:shd w:val="clear" w:color="auto" w:fill="FFFFFF"/>
        <w:ind w:firstLine="708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81C1A">
        <w:rPr>
          <w:color w:val="000000"/>
          <w:bdr w:val="none" w:sz="0" w:space="0" w:color="auto" w:frame="1"/>
          <w:shd w:val="clear" w:color="auto" w:fill="FFFFFF"/>
        </w:rPr>
        <w:t xml:space="preserve">Администрация </w:t>
      </w:r>
      <w:proofErr w:type="spellStart"/>
      <w:r w:rsidRPr="00B81C1A">
        <w:rPr>
          <w:color w:val="000000"/>
          <w:bdr w:val="none" w:sz="0" w:space="0" w:color="auto" w:frame="1"/>
          <w:shd w:val="clear" w:color="auto" w:fill="FFFFFF"/>
        </w:rPr>
        <w:t>Сутчевского</w:t>
      </w:r>
      <w:proofErr w:type="spellEnd"/>
      <w:r w:rsidRPr="00B81C1A">
        <w:rPr>
          <w:color w:val="000000"/>
          <w:bdr w:val="none" w:sz="0" w:space="0" w:color="auto" w:frame="1"/>
          <w:shd w:val="clear" w:color="auto" w:fill="FFFFFF"/>
        </w:rPr>
        <w:t xml:space="preserve"> сельского поселения  Мариинско-Посадского района Чувашской Республики занимает встроенные помещения в здании МАУК «ЦКС» Мариинско-Посадского района Чувашской Республики общей площадью 50 кв. м.  на праве безвозмездного пользования. 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left="426" w:right="889" w:firstLine="567"/>
        <w:jc w:val="both"/>
        <w:rPr>
          <w:i/>
        </w:rPr>
      </w:pPr>
      <w:bookmarkStart w:id="10" w:name="_GoBack"/>
      <w:bookmarkStart w:id="11" w:name="_Toc50673752"/>
      <w:bookmarkEnd w:id="10"/>
      <w:r w:rsidRPr="00B81C1A">
        <w:rPr>
          <w:i/>
        </w:rPr>
        <w:t>Цели, задачи и срок реализации программы</w:t>
      </w:r>
      <w:bookmarkEnd w:id="11"/>
    </w:p>
    <w:p w:rsidR="00B81C1A" w:rsidRPr="00B81C1A" w:rsidRDefault="00B81C1A" w:rsidP="00B81C1A">
      <w:pPr>
        <w:pStyle w:val="ae"/>
        <w:rPr>
          <w:sz w:val="24"/>
          <w:szCs w:val="24"/>
        </w:rPr>
      </w:pPr>
      <w:r w:rsidRPr="00B81C1A">
        <w:rPr>
          <w:sz w:val="24"/>
          <w:szCs w:val="24"/>
        </w:rPr>
        <w:t>Основными целями программы являются: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t>Повышение эффективности потребления энергетических ресурсов в учреждении, 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топливно-энергетических ресурсов и воды;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t>Повышение эффективности использования топливно-энергетических ресурсов за счет реализации оптимальных, апробированных и рекомендованных к использованию энергосберегающих технологий, отвечающих актуальным и перспективным потребностям и снижение энергоемкости.</w:t>
      </w:r>
    </w:p>
    <w:p w:rsidR="00B81C1A" w:rsidRPr="00B81C1A" w:rsidRDefault="00B81C1A" w:rsidP="00B81C1A">
      <w:pPr>
        <w:pStyle w:val="ae"/>
        <w:rPr>
          <w:sz w:val="24"/>
          <w:szCs w:val="24"/>
        </w:rPr>
      </w:pPr>
      <w:r w:rsidRPr="00B81C1A">
        <w:rPr>
          <w:sz w:val="24"/>
          <w:szCs w:val="24"/>
        </w:rPr>
        <w:t>Для достижения поставленных целей необходимо выполнение следующих задач: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t>Первоочередное внедрение мероприятий по энергосбережению с минимальным и средним сроком окупаемости;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t xml:space="preserve">Заключение </w:t>
      </w:r>
      <w:proofErr w:type="spellStart"/>
      <w:r w:rsidRPr="00B81C1A">
        <w:rPr>
          <w:color w:val="000000"/>
          <w:sz w:val="24"/>
          <w:szCs w:val="24"/>
        </w:rPr>
        <w:t>энергосервисных</w:t>
      </w:r>
      <w:proofErr w:type="spellEnd"/>
      <w:r w:rsidRPr="00B81C1A">
        <w:rPr>
          <w:color w:val="000000"/>
          <w:sz w:val="24"/>
          <w:szCs w:val="24"/>
        </w:rPr>
        <w:t xml:space="preserve"> контрактов на комплексную реализацию мероприятий по энергосбережению;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lastRenderedPageBreak/>
        <w:t>Снижение удельных величин потребления организацией  топливно-энергетических ресурсов при сохранении устойчивости функционирования учреждения и обеспечении соблюдения санитарно-гигиенических требований;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t>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t>Сокращение потерь топливно-энергетических ресурсов;</w:t>
      </w:r>
    </w:p>
    <w:p w:rsidR="00B81C1A" w:rsidRPr="00B81C1A" w:rsidRDefault="00B81C1A" w:rsidP="00B81C1A">
      <w:pPr>
        <w:pStyle w:val="ae"/>
        <w:numPr>
          <w:ilvl w:val="0"/>
          <w:numId w:val="5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 w:val="24"/>
          <w:szCs w:val="24"/>
        </w:rPr>
      </w:pPr>
      <w:r w:rsidRPr="00B81C1A">
        <w:rPr>
          <w:color w:val="000000"/>
          <w:sz w:val="24"/>
          <w:szCs w:val="24"/>
        </w:rPr>
        <w:t>Реализация общедоступных типовых  мероприятий, практическое внедрение которых приведет к повышению эффективности использования топливно-энергетических</w:t>
      </w:r>
      <w:r w:rsidRPr="00B81C1A">
        <w:rPr>
          <w:rFonts w:eastAsia="Times New Roman"/>
          <w:color w:val="000000"/>
          <w:sz w:val="24"/>
          <w:szCs w:val="24"/>
        </w:rPr>
        <w:t xml:space="preserve"> ресурсов.</w:t>
      </w:r>
    </w:p>
    <w:p w:rsidR="00B81C1A" w:rsidRPr="00B81C1A" w:rsidRDefault="00B81C1A" w:rsidP="00B81C1A">
      <w:pPr>
        <w:pStyle w:val="ae"/>
        <w:rPr>
          <w:sz w:val="24"/>
          <w:szCs w:val="24"/>
        </w:rPr>
      </w:pPr>
      <w:r w:rsidRPr="00B81C1A">
        <w:rPr>
          <w:sz w:val="24"/>
          <w:szCs w:val="24"/>
        </w:rPr>
        <w:t>Срок реализации Программы – 2021 - 2023 годы.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left="426" w:right="-1" w:firstLine="567"/>
        <w:jc w:val="both"/>
        <w:rPr>
          <w:i/>
        </w:rPr>
      </w:pPr>
      <w:r w:rsidRPr="00B81C1A">
        <w:rPr>
          <w:i/>
        </w:rPr>
        <w:t>Рекомендации по системе информационного обеспечения в рамках Программы энергосбережения</w:t>
      </w:r>
      <w:r w:rsidRPr="00B81C1A">
        <w:rPr>
          <w:i/>
          <w:spacing w:val="-1"/>
        </w:rPr>
        <w:t xml:space="preserve"> </w:t>
      </w:r>
      <w:r w:rsidRPr="00B81C1A">
        <w:rPr>
          <w:i/>
        </w:rPr>
        <w:t>Учреждения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Внедрение Системы информационного обеспечения Учреждения в рамках реализации настоящей Программы предусматривает: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определение состава заинтересованных в получении информации лиц;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определение состава и формы предоставления информации;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подготовку необходимой информации;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предоставление информации заинтересованным лицам.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являются: специалисты Учреждения, участвующие в реализации настоящей Программы и несущие ответственность за достижение целевых показателей.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Главному распорядителю бюджетных средств, информацию о своей деятельности в области энергосбережения и реализации настоящей Программы Учреждение предоставляет ежеквартально в соответствии с предписанными вышестоящими организациями формами. Такая информация, в зависимости от компетенции органа власти, может включать в себя в числе прочей информацию финансового и юридического характера, такую, как: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информацию о запланированных и фактически осуществленных расходах на деятельность в области энергосбережения;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информацию об обязательствах, возникших в связи с осуществлением деятельности в области энергосбережения;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информацию о контрагентах и исполнении государственных контрактов в области энергосбережения;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информацию о размещении государственных заказов в области энергосбережения, в порядке, установленном Федеральным законом РФ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РФ от 18.07.2011 г. № 223-ФЗ «О закупках товаров, работ, услуг отдельными видами юридических лиц».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сайте, а также официальных сайтах вышестоящих организаций.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Состав информации, предоставляемой в свободном доступе, включает в себя: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перечень нормативных документов, которыми руководствуется Учреждение в своей деятельности по энергосбережению и повышению </w:t>
      </w:r>
      <w:proofErr w:type="spellStart"/>
      <w:r w:rsidRPr="00B81C1A">
        <w:t>энергоэффективности</w:t>
      </w:r>
      <w:proofErr w:type="spellEnd"/>
      <w:r w:rsidRPr="00B81C1A">
        <w:t xml:space="preserve">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перечень и планируемые значения целевых показателей в области энергосбережения и повышения энергетической эффективности подотчетным Учреждению объектам, актуальные на дату последнего обновления информации;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отчеты о достижении запланированных целевых показателей в области энергосбережения и повышения энергетической эффективности Учреждения, актуальные на дату последнего обновления информации;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lastRenderedPageBreak/>
        <w:t xml:space="preserve">- 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эффективности, а также планируемые значения экономии по видам ресурсов;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отчеты о выполнении запланированных в отношении подотчетных Учреждению объектов мероприятий в области энергосбережения и повышения энергетической эффективности, и фактически достигнутые величины экономии энергетических ресурсов, полученные от реализации указанных мероприятий.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системе мониторинга на территории Чувашской Республики в области энергосбережения и повышения </w:t>
      </w:r>
      <w:proofErr w:type="spellStart"/>
      <w:r w:rsidRPr="00B81C1A">
        <w:t>энергоэффективности</w:t>
      </w:r>
      <w:proofErr w:type="spellEnd"/>
      <w:r w:rsidRPr="00B81C1A">
        <w:t xml:space="preserve"> Учреждение участвует в части: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подготовки и предоставления информации о фактическом достижении целевых показателей в области энергосбережения, за которые несет ответственность Учреждение;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подготовки и предоставления информации о фактическом выполнении мероприятий в области энергосбережения, за которые несет ответственность Учреждение.</w:t>
      </w:r>
    </w:p>
    <w:p w:rsidR="00B81C1A" w:rsidRPr="00B81C1A" w:rsidRDefault="00B81C1A" w:rsidP="00B81C1A">
      <w:pPr>
        <w:pStyle w:val="a7"/>
        <w:ind w:right="-1" w:firstLine="993"/>
        <w:jc w:val="both"/>
      </w:pPr>
      <w:proofErr w:type="gramStart"/>
      <w:r w:rsidRPr="00B81C1A">
        <w:t>Согласно закона</w:t>
      </w:r>
      <w:proofErr w:type="gramEnd"/>
      <w:r w:rsidRPr="00B81C1A">
        <w:t xml:space="preserve"> РФ № 261 – ФЗ от 23.11.2009г. информационное обеспечение мероприятий по энергосбережению и повышению энергетической эффективности должно осуществляться посредством: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предоставление ежеквартальной отчетности по программе энергосбережения;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Для повышения информированности, применить информационные плакаты, таблички.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left="426" w:right="-1" w:firstLine="567"/>
        <w:jc w:val="both"/>
        <w:rPr>
          <w:i/>
        </w:rPr>
      </w:pPr>
      <w:bookmarkStart w:id="12" w:name="5.9_Рекомендации_по_системе_пропаганды_в"/>
      <w:bookmarkStart w:id="13" w:name="_bookmark16"/>
      <w:bookmarkEnd w:id="12"/>
      <w:bookmarkEnd w:id="13"/>
      <w:r w:rsidRPr="00B81C1A">
        <w:rPr>
          <w:i/>
        </w:rPr>
        <w:t xml:space="preserve">Рекомендации по системе пропаганды в рамках реализации Программы энергосбережения и повышения </w:t>
      </w:r>
      <w:proofErr w:type="spellStart"/>
      <w:r w:rsidRPr="00B81C1A">
        <w:rPr>
          <w:i/>
        </w:rPr>
        <w:t>энергоэффективности</w:t>
      </w:r>
      <w:proofErr w:type="spellEnd"/>
      <w:r w:rsidRPr="00B81C1A">
        <w:rPr>
          <w:i/>
        </w:rPr>
        <w:t xml:space="preserve"> Учреждения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Целью пропаганды повышения </w:t>
      </w:r>
      <w:proofErr w:type="spellStart"/>
      <w:r w:rsidRPr="00B81C1A">
        <w:t>энергоэффективности</w:t>
      </w:r>
      <w:proofErr w:type="spellEnd"/>
      <w:r w:rsidRPr="00B81C1A">
        <w:t xml:space="preserve"> и энергосбережения является побуждение субъектов к осуществлению действий, направленных на сбережение энергетических ресурсов и повышение </w:t>
      </w:r>
      <w:proofErr w:type="spellStart"/>
      <w:r w:rsidRPr="00B81C1A">
        <w:t>энергоэффективности</w:t>
      </w:r>
      <w:proofErr w:type="spellEnd"/>
      <w:r w:rsidRPr="00B81C1A">
        <w:t xml:space="preserve">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Предметом воздействия пропаганды в области энергосбережения являются целевые аудитории, формируемые путем классификации </w:t>
      </w:r>
      <w:proofErr w:type="spellStart"/>
      <w:proofErr w:type="gramStart"/>
      <w:r w:rsidRPr="00B81C1A">
        <w:t>индивидуумов-физических</w:t>
      </w:r>
      <w:proofErr w:type="spellEnd"/>
      <w:proofErr w:type="gramEnd"/>
      <w:r w:rsidRPr="00B81C1A">
        <w:t xml:space="preserve"> лиц, исходя из общности наиболее эффективных способов информационного воздействия на них.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Для определения классификационной структуры целевых аудиторий </w:t>
      </w:r>
      <w:proofErr w:type="gramStart"/>
      <w:r w:rsidRPr="00B81C1A">
        <w:t>может</w:t>
      </w:r>
      <w:proofErr w:type="gramEnd"/>
      <w:r w:rsidRPr="00B81C1A">
        <w:t xml:space="preserve"> в том числе использоваться структура социально значимых групп лиц, так как указанные группы характеризуются общностью жизненных ценностей, интересов и схожей моделью социального поведения.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Мотивация лиц, входящих в целевые аудитории, может быть основана </w:t>
      </w:r>
      <w:proofErr w:type="gramStart"/>
      <w:r w:rsidRPr="00B81C1A">
        <w:t>на</w:t>
      </w:r>
      <w:proofErr w:type="gramEnd"/>
      <w:r w:rsidRPr="00B81C1A">
        <w:t xml:space="preserve">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рациональной оценке человеком своих собственных действий;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моральном и эмоциональном </w:t>
      </w:r>
      <w:proofErr w:type="gramStart"/>
      <w:r w:rsidRPr="00B81C1A">
        <w:t>отношении</w:t>
      </w:r>
      <w:proofErr w:type="gramEnd"/>
      <w:r w:rsidRPr="00B81C1A">
        <w:t xml:space="preserve"> человека к своим действиям;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моральном и эмоциональном отношении человека к оценке своих действий другими людьми, как входящими в целевую группу, так и находящимися </w:t>
      </w:r>
      <w:proofErr w:type="gramStart"/>
      <w:r w:rsidRPr="00B81C1A">
        <w:t>вне</w:t>
      </w:r>
      <w:proofErr w:type="gramEnd"/>
      <w:r w:rsidRPr="00B81C1A">
        <w:t xml:space="preserve"> </w:t>
      </w:r>
      <w:proofErr w:type="gramStart"/>
      <w:r w:rsidRPr="00B81C1A">
        <w:t>ее</w:t>
      </w:r>
      <w:proofErr w:type="gramEnd"/>
      <w:r w:rsidRPr="00B81C1A">
        <w:t xml:space="preserve">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моральном и эмоциональном отношении человека к оценке своего бездействия другими людьми, как входящими в целевую группу, так и находящимися </w:t>
      </w:r>
      <w:proofErr w:type="gramStart"/>
      <w:r w:rsidRPr="00B81C1A">
        <w:t>вне</w:t>
      </w:r>
      <w:proofErr w:type="gramEnd"/>
      <w:r w:rsidRPr="00B81C1A">
        <w:t xml:space="preserve"> </w:t>
      </w:r>
      <w:proofErr w:type="gramStart"/>
      <w:r w:rsidRPr="00B81C1A">
        <w:t>ее</w:t>
      </w:r>
      <w:proofErr w:type="gramEnd"/>
      <w:r w:rsidRPr="00B81C1A">
        <w:t>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области рациональной мотивации наиболее важным мотивом выступает осознание людьми тех выгод, которые они приобретают, осуществляя действия, приводящие к энергосбережению и повышению энергетической эффективности. В первую </w:t>
      </w:r>
      <w:r w:rsidRPr="00B81C1A">
        <w:lastRenderedPageBreak/>
        <w:t xml:space="preserve">очередь, в числе указанных выгод надо рассматривать экономию личных средств на оплату потребляемых энергетических ресурсов и услуг в этой области.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отношении моральной и эмоциональной мотивации наиболее важным мотивом выступают эмоции, испытываемые людьми по результатам оценки своих действий. Характер указанных эмоций обуславливаются соответствием осуществленных действий системе жизненных ценностей человека.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Наиболее значимыми потребностями в системе жизненных ценностей (с точки зрения мотивации в области энергосбережения), являются: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получение социального признания;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желание сделать что-то хорошее;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стремление принадлежать к определенной социальной группе (быть похожим на людей определенной социальной группы).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</w:t>
      </w:r>
      <w:proofErr w:type="gramStart"/>
      <w:r w:rsidRPr="00B81C1A">
        <w:t>основе, рассмотренной выше модели мотивации лежит</w:t>
      </w:r>
      <w:proofErr w:type="gramEnd"/>
      <w:r w:rsidRPr="00B81C1A">
        <w:t xml:space="preserve"> оценка человеком своих действий. Большое значение для адекватности указанной оценки имеет понимание и осознание человеком своих действий и их последствий для энергосбережения и повышения энергетической эффективности.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отношении влияния на энергосбережение можно выделить два вида наиболее значимых целевых аудиторий: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целевые аудитории в производственной сфере;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целевые аудитории в сфере личного потребления энергоресурсов.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производственной сфере наиболее значимыми могут быть признаны следующие целевые аудитории: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руководители, влияющие на стратегию деятельности организации;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лица, влияющие на производственную деятельность организации (менеджеры среднего звена);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работники, непосредственно выполняющие процессы (работы), которые осуществляется с использованием энергетических ресурсов.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сфере личного потребления энергоресурсов наиболее значимыми могут являться следующие целевые аудитории: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члены семьи, осуществляющие оплату потребленных энергетических ресурсов;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пенсионеры, люди с ограниченными возможностями (социально значимые группы населения);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учащиеся начальных, средних и высших учебных заведений;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аудитории.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Рекомендуемая система пропаганды повышения </w:t>
      </w:r>
      <w:proofErr w:type="spellStart"/>
      <w:r w:rsidRPr="00B81C1A">
        <w:t>энергоэффективности</w:t>
      </w:r>
      <w:proofErr w:type="spellEnd"/>
      <w:r w:rsidRPr="00B81C1A">
        <w:t xml:space="preserve"> и энергосбережения опирается на общие положения, изложенные в настоящем разделе, и должна включать в себя: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идентификацию целевых аудиторий для пропаганды;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определение целей пропаганды выбранных целевых аудиторий;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определение способов воздействия на целевые аудитории;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определение коммуникативных целей способов воздействия;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осуществление действий по пропаганде; 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оценку достижения целей воздействия на выбранные целевые аудитории и, при необходимости, выработку системных корректирующих действий в области пропаганды энергосбережения и </w:t>
      </w:r>
      <w:proofErr w:type="spellStart"/>
      <w:r w:rsidRPr="00B81C1A">
        <w:t>энергоэффективности</w:t>
      </w:r>
      <w:proofErr w:type="spellEnd"/>
      <w:r w:rsidRPr="00B81C1A">
        <w:t>.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left="426" w:right="-1" w:firstLine="567"/>
        <w:jc w:val="both"/>
        <w:rPr>
          <w:i/>
        </w:rPr>
      </w:pPr>
      <w:bookmarkStart w:id="14" w:name="5.10_Механизм_привлечения_внебюджетных_и"/>
      <w:bookmarkStart w:id="15" w:name="_bookmark17"/>
      <w:bookmarkEnd w:id="14"/>
      <w:bookmarkEnd w:id="15"/>
      <w:r w:rsidRPr="00B81C1A">
        <w:rPr>
          <w:i/>
        </w:rPr>
        <w:t>Про механизм привлечения внебюджетных источников финансирования для целей энергосбережения и повышения энергетической</w:t>
      </w:r>
      <w:r w:rsidRPr="00B81C1A">
        <w:rPr>
          <w:i/>
          <w:spacing w:val="1"/>
        </w:rPr>
        <w:t xml:space="preserve"> </w:t>
      </w:r>
      <w:r w:rsidRPr="00B81C1A">
        <w:rPr>
          <w:i/>
        </w:rPr>
        <w:t>эффективности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Финансирование мероприятий в области энергосбережения из внебюджетных источников может быть обеспечено за счет привлечения к реализации энергосберегающих мероприятий </w:t>
      </w:r>
      <w:proofErr w:type="spellStart"/>
      <w:r w:rsidRPr="00B81C1A">
        <w:t>энергосервисных</w:t>
      </w:r>
      <w:proofErr w:type="spellEnd"/>
      <w:r w:rsidRPr="00B81C1A">
        <w:t xml:space="preserve"> компаний и заключения </w:t>
      </w:r>
      <w:proofErr w:type="spellStart"/>
      <w:r w:rsidRPr="00B81C1A">
        <w:t>энергосервисных</w:t>
      </w:r>
      <w:proofErr w:type="spellEnd"/>
      <w:r w:rsidRPr="00B81C1A">
        <w:t xml:space="preserve"> контрактов. </w:t>
      </w:r>
      <w:r w:rsidRPr="00B81C1A">
        <w:lastRenderedPageBreak/>
        <w:t xml:space="preserve">Заключение </w:t>
      </w:r>
      <w:proofErr w:type="spellStart"/>
      <w:r w:rsidRPr="00B81C1A">
        <w:t>энергосервисных</w:t>
      </w:r>
      <w:proofErr w:type="spellEnd"/>
      <w:r w:rsidRPr="00B81C1A">
        <w:t xml:space="preserve"> контрактов является наиболее актуальным и перспективным на ближайшее время механизмом привлечения внебюджетных источников финансирования.</w:t>
      </w:r>
    </w:p>
    <w:p w:rsidR="00B81C1A" w:rsidRPr="00B81C1A" w:rsidRDefault="00B81C1A" w:rsidP="00B81C1A">
      <w:pPr>
        <w:pStyle w:val="a7"/>
        <w:ind w:right="-1" w:firstLine="993"/>
        <w:jc w:val="both"/>
      </w:pPr>
      <w:proofErr w:type="spellStart"/>
      <w:r w:rsidRPr="00B81C1A">
        <w:t>Энергосервисный</w:t>
      </w:r>
      <w:proofErr w:type="spellEnd"/>
      <w:r w:rsidRPr="00B81C1A">
        <w:t xml:space="preserve"> контракт представляет собой особую форму договора, направленного на экономию эксплуатационных расходов за счет повышения </w:t>
      </w:r>
      <w:proofErr w:type="spellStart"/>
      <w:r w:rsidRPr="00B81C1A">
        <w:t>энергоэффективности</w:t>
      </w:r>
      <w:proofErr w:type="spellEnd"/>
      <w:r w:rsidRPr="00B81C1A">
        <w:t xml:space="preserve"> и внедрения технологий, обеспечивающих энергосбережение. Отличительной особенностью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 является то, что затраты инвестора возмещаются за счет достигнутой экономии средств, получаемой в результате внедрения энергосберегающих технологий.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Таким образом, для организации, стремящейся к снижению затрат на энергоресурсы, не требуется на этапе первоначальных затрат отвлекать собственные средства или прибегать к кредитованию для реализации своих целей повышения </w:t>
      </w:r>
      <w:proofErr w:type="spellStart"/>
      <w:r w:rsidRPr="00B81C1A">
        <w:t>энергоэффективности</w:t>
      </w:r>
      <w:proofErr w:type="spellEnd"/>
      <w:r w:rsidRPr="00B81C1A">
        <w:t xml:space="preserve">. Инвестиции, необходимые для осуществления такого проекта, как правило, привлекаются </w:t>
      </w:r>
      <w:proofErr w:type="spellStart"/>
      <w:r w:rsidRPr="00B81C1A">
        <w:t>энергосервисной</w:t>
      </w:r>
      <w:proofErr w:type="spellEnd"/>
      <w:r w:rsidRPr="00B81C1A">
        <w:t xml:space="preserve"> компанией. Согласно Федеральному закону от 23.11.2009 г. № 261-ФЗ </w:t>
      </w:r>
      <w:proofErr w:type="spellStart"/>
      <w:r w:rsidRPr="00B81C1A">
        <w:t>энергосервисный</w:t>
      </w:r>
      <w:proofErr w:type="spellEnd"/>
      <w:r w:rsidRPr="00B81C1A">
        <w:t xml:space="preserve"> контракт должен содержать: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условие о величине экономии энергетических ресурсов, которая должна быть обеспечена исполнителем в результате выполнения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условие о сроке действия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контракта, который не должен быть менее</w:t>
      </w:r>
      <w:proofErr w:type="gramStart"/>
      <w:r w:rsidRPr="00B81C1A">
        <w:t>,</w:t>
      </w:r>
      <w:proofErr w:type="gramEnd"/>
      <w:r w:rsidRPr="00B81C1A">
        <w:t xml:space="preserve"> чем срок, необходимый для достижения установленной </w:t>
      </w:r>
      <w:proofErr w:type="spellStart"/>
      <w:r w:rsidRPr="00B81C1A">
        <w:t>энергосервисным</w:t>
      </w:r>
      <w:proofErr w:type="spellEnd"/>
      <w:r w:rsidRPr="00B81C1A">
        <w:t xml:space="preserve"> контрактом величины экономии энергетических ресурсов;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иные обязательные условия для </w:t>
      </w:r>
      <w:proofErr w:type="spellStart"/>
      <w:r w:rsidRPr="00B81C1A">
        <w:t>энергосервисных</w:t>
      </w:r>
      <w:proofErr w:type="spellEnd"/>
      <w:r w:rsidRPr="00B81C1A">
        <w:t xml:space="preserve"> договоров, установленные законодательством РФ.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Механизмы реализации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Комплекс работ по внедрению энергосберегающих мероприятий осуществляется благодаря инвестиционным ресурсам, предоставляемых или привлекаемых </w:t>
      </w:r>
      <w:proofErr w:type="spellStart"/>
      <w:r w:rsidRPr="00B81C1A">
        <w:t>энергосервисной</w:t>
      </w:r>
      <w:proofErr w:type="spellEnd"/>
      <w:r w:rsidRPr="00B81C1A">
        <w:t xml:space="preserve"> компанией (далее – </w:t>
      </w:r>
      <w:proofErr w:type="gramStart"/>
      <w:r w:rsidRPr="00B81C1A">
        <w:t>ЭК</w:t>
      </w:r>
      <w:proofErr w:type="gramEnd"/>
      <w:r w:rsidRPr="00B81C1A">
        <w:t xml:space="preserve">). Оплата услуг </w:t>
      </w:r>
      <w:proofErr w:type="gramStart"/>
      <w:r w:rsidRPr="00B81C1A">
        <w:t>ЭК</w:t>
      </w:r>
      <w:proofErr w:type="gramEnd"/>
      <w:r w:rsidRPr="00B81C1A">
        <w:t xml:space="preserve"> по внедрению энергосберегающих мероприятий осуществляется потребителем ТЭР за счет средств, полученных в результате экономии ресурсов. Если же предложенная </w:t>
      </w:r>
      <w:proofErr w:type="gramStart"/>
      <w:r w:rsidRPr="00B81C1A">
        <w:t>ЭК</w:t>
      </w:r>
      <w:proofErr w:type="gramEnd"/>
      <w:r w:rsidRPr="00B81C1A">
        <w:t xml:space="preserve"> схема энергосбережения не помогла изменить ситуацию в организации в лучшую сторону, то </w:t>
      </w:r>
      <w:proofErr w:type="spellStart"/>
      <w:r w:rsidRPr="00B81C1A">
        <w:t>энергосервисная</w:t>
      </w:r>
      <w:proofErr w:type="spellEnd"/>
      <w:r w:rsidRPr="00B81C1A">
        <w:t xml:space="preserve"> компания не должна получать оплаты за свои услуги.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К числу возможных финансовых механизмов привлечения инвестиций для заключения </w:t>
      </w:r>
      <w:proofErr w:type="spellStart"/>
      <w:r w:rsidRPr="00B81C1A">
        <w:t>энергосервисных</w:t>
      </w:r>
      <w:proofErr w:type="spellEnd"/>
      <w:r w:rsidRPr="00B81C1A">
        <w:t xml:space="preserve"> контрактов относятся: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собственные средства </w:t>
      </w:r>
      <w:proofErr w:type="spellStart"/>
      <w:r w:rsidRPr="00B81C1A">
        <w:t>энергосервисной</w:t>
      </w:r>
      <w:proofErr w:type="spellEnd"/>
      <w:r w:rsidRPr="00B81C1A">
        <w:t xml:space="preserve"> компании;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кредиты, привлекаемые </w:t>
      </w:r>
      <w:proofErr w:type="spellStart"/>
      <w:r w:rsidRPr="00B81C1A">
        <w:t>энергосервисной</w:t>
      </w:r>
      <w:proofErr w:type="spellEnd"/>
      <w:r w:rsidRPr="00B81C1A">
        <w:t xml:space="preserve"> компанией;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лизинг;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средства инвесторов – физических и юридических лиц.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Формирование плана мероприятий.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Основой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 является план мероприятий, намеченных к реализации. План мероприятий формируется на основе данных энергетического паспорта, подробного отчета о проведенном энергетическом обследовании, данных, имеющихся в </w:t>
      </w:r>
      <w:proofErr w:type="spellStart"/>
      <w:r w:rsidRPr="00B81C1A">
        <w:t>энергодекларации</w:t>
      </w:r>
      <w:proofErr w:type="spellEnd"/>
      <w:r w:rsidRPr="00B81C1A">
        <w:t>, а также сведений, содержащихся в Программе энергосбережения.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В случае проведения энергетического обследования Учреждения организацией, не являющейся стороной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контракта, его подписанию, как правило, предшествует экспертиза представленной заказчиком-потребителем ТЭР (Учреждением) документации, проводимая за счет средств потенциального инвестор</w:t>
      </w:r>
      <w:proofErr w:type="gramStart"/>
      <w:r w:rsidRPr="00B81C1A">
        <w:t>а-</w:t>
      </w:r>
      <w:proofErr w:type="gramEnd"/>
      <w:r w:rsidRPr="00B81C1A">
        <w:t xml:space="preserve"> участника ЭК.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Риски </w:t>
      </w:r>
      <w:proofErr w:type="spellStart"/>
      <w:r w:rsidRPr="00B81C1A">
        <w:t>энергосервисных</w:t>
      </w:r>
      <w:proofErr w:type="spellEnd"/>
      <w:r w:rsidRPr="00B81C1A">
        <w:t xml:space="preserve"> контрактов.</w:t>
      </w:r>
    </w:p>
    <w:p w:rsidR="00B81C1A" w:rsidRPr="00B81C1A" w:rsidRDefault="00B81C1A" w:rsidP="00B81C1A">
      <w:pPr>
        <w:pStyle w:val="a7"/>
        <w:ind w:right="-1" w:firstLine="993"/>
        <w:jc w:val="both"/>
      </w:pPr>
      <w:proofErr w:type="spellStart"/>
      <w:r w:rsidRPr="00B81C1A">
        <w:t>Энергосервисный</w:t>
      </w:r>
      <w:proofErr w:type="spellEnd"/>
      <w:r w:rsidRPr="00B81C1A">
        <w:t xml:space="preserve">   контракт   относится к классу долгосрочных контрактов, поэтому в его рамках должны быть: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установлены стороны, которые несут риски не внедрения </w:t>
      </w:r>
      <w:proofErr w:type="spellStart"/>
      <w:r w:rsidRPr="00B81C1A">
        <w:t>энергоэффективного</w:t>
      </w:r>
      <w:proofErr w:type="spellEnd"/>
      <w:r w:rsidRPr="00B81C1A">
        <w:t xml:space="preserve"> проекта, а также доля ответственности сторон по этим рискам;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решены вопросы перехода прав собственности на результаты внедрения </w:t>
      </w:r>
      <w:proofErr w:type="spellStart"/>
      <w:r w:rsidRPr="00B81C1A">
        <w:t>энергоэффективного</w:t>
      </w:r>
      <w:proofErr w:type="spellEnd"/>
      <w:r w:rsidRPr="00B81C1A">
        <w:t xml:space="preserve"> проекта (после окончания всех выплат, предусмотренных по </w:t>
      </w:r>
      <w:proofErr w:type="spellStart"/>
      <w:r w:rsidRPr="00B81C1A">
        <w:lastRenderedPageBreak/>
        <w:t>энергосервисному</w:t>
      </w:r>
      <w:proofErr w:type="spellEnd"/>
      <w:r w:rsidRPr="00B81C1A">
        <w:t xml:space="preserve"> контракту в результате внедрения энергосберегающих технологий);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оговорены пути разрешения проблем, связанных с досрочным прекращением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 на всех этапах;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определено право надзора </w:t>
      </w:r>
      <w:proofErr w:type="spellStart"/>
      <w:r w:rsidRPr="00B81C1A">
        <w:t>энергосервисной</w:t>
      </w:r>
      <w:proofErr w:type="spellEnd"/>
      <w:r w:rsidRPr="00B81C1A">
        <w:t xml:space="preserve"> компании над осуществлением всех стадий реализации </w:t>
      </w:r>
      <w:proofErr w:type="spellStart"/>
      <w:r w:rsidRPr="00B81C1A">
        <w:t>энергоэффективного</w:t>
      </w:r>
      <w:proofErr w:type="spellEnd"/>
      <w:r w:rsidRPr="00B81C1A">
        <w:t xml:space="preserve"> проекта.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К основным рискам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 относятся: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риск предоставления заказчиком-потребителем ТЭР (Учреждением) недостоверной и/или не полной информации, как на этапе проведения </w:t>
      </w:r>
      <w:proofErr w:type="spellStart"/>
      <w:r w:rsidRPr="00B81C1A">
        <w:t>энергоаудита</w:t>
      </w:r>
      <w:proofErr w:type="spellEnd"/>
      <w:r w:rsidRPr="00B81C1A">
        <w:t xml:space="preserve">, так и на этапе эксплуатации внедряемого </w:t>
      </w:r>
      <w:proofErr w:type="spellStart"/>
      <w:r w:rsidRPr="00B81C1A">
        <w:t>энергоэффективного</w:t>
      </w:r>
      <w:proofErr w:type="spellEnd"/>
      <w:r w:rsidRPr="00B81C1A">
        <w:t xml:space="preserve"> проекта;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риск некачественного и/или недобросовестного выполнения подрядных работ при реализации </w:t>
      </w:r>
      <w:proofErr w:type="spellStart"/>
      <w:r w:rsidRPr="00B81C1A">
        <w:t>энергоэффективного</w:t>
      </w:r>
      <w:proofErr w:type="spellEnd"/>
      <w:r w:rsidRPr="00B81C1A">
        <w:t xml:space="preserve"> проекта;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риск неквалифицированной эксплуатации заказчиком-потребителем ТЭР (Учреждением) установленного энергосберегающего оборудования;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риск неплатежеспособности заказчика (Учреждения).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Основные проблемы и сложности в реализации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контракта.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Реализация </w:t>
      </w:r>
      <w:proofErr w:type="spellStart"/>
      <w:r w:rsidRPr="00B81C1A">
        <w:t>энергосервисных</w:t>
      </w:r>
      <w:proofErr w:type="spellEnd"/>
      <w:r w:rsidRPr="00B81C1A">
        <w:t xml:space="preserve"> контрактов в России характеризуются: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отсутствием единого подхода к разработке и согласованию методик измерения и/или расчета энергосберегающего эффекта;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неоднозначностью при расчетах собственно энергосберегающего эффекта проекта и отделение рассчитываемого эффекта от влияния внешних факторов;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трудности, возникающие у заказчиков-потребителей ТЭР при заключении многолетних (долгосрочных) контрактов (в бюджетной сфере);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трудности, возникающие у инвесторов (</w:t>
      </w:r>
      <w:proofErr w:type="spellStart"/>
      <w:r w:rsidRPr="00B81C1A">
        <w:t>энергосервисных</w:t>
      </w:r>
      <w:proofErr w:type="spellEnd"/>
      <w:r w:rsidRPr="00B81C1A">
        <w:t xml:space="preserve"> компаний) при получении доступа к источникам финансирования </w:t>
      </w:r>
      <w:proofErr w:type="spellStart"/>
      <w:r w:rsidRPr="00B81C1A">
        <w:t>энергосервисного</w:t>
      </w:r>
      <w:proofErr w:type="spellEnd"/>
      <w:r w:rsidRPr="00B81C1A">
        <w:t xml:space="preserve"> контракта с минимальной кредитной процентной ставкой. При отсутствии значительного эффекта большая часть достигнутой экономии, получаемой </w:t>
      </w:r>
      <w:proofErr w:type="spellStart"/>
      <w:r w:rsidRPr="00B81C1A">
        <w:t>энергосервисной</w:t>
      </w:r>
      <w:proofErr w:type="spellEnd"/>
      <w:r w:rsidRPr="00B81C1A">
        <w:t xml:space="preserve"> компанией, будет «уходить» на оплату процентов за выданные кредиты;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отсутствие в РФ надежных финансовых и страховых продуктов, разработанных специально под </w:t>
      </w:r>
      <w:proofErr w:type="spellStart"/>
      <w:r w:rsidRPr="00B81C1A">
        <w:t>энергосервисные</w:t>
      </w:r>
      <w:proofErr w:type="spellEnd"/>
      <w:r w:rsidRPr="00B81C1A">
        <w:t xml:space="preserve"> контракты;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отсутствие у потенциальных инвесторов (</w:t>
      </w:r>
      <w:proofErr w:type="spellStart"/>
      <w:r w:rsidRPr="00B81C1A">
        <w:t>энергосервисных</w:t>
      </w:r>
      <w:proofErr w:type="spellEnd"/>
      <w:r w:rsidRPr="00B81C1A">
        <w:t xml:space="preserve"> компаний) инженерно-технических компетенций для оценки рисков на стадии принятия решения о финансирования энергосберегающих проектов, отсутствие общепризнанной методологии оценки технических и экономических рисков данных проектов;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отсутствие возможностей у компаний по привлечению долгосрочных займов, в том числе по причинам низкой капитализации </w:t>
      </w:r>
      <w:proofErr w:type="spellStart"/>
      <w:r w:rsidRPr="00B81C1A">
        <w:t>энергосервисных</w:t>
      </w:r>
      <w:proofErr w:type="spellEnd"/>
      <w:r w:rsidRPr="00B81C1A">
        <w:t xml:space="preserve"> компаний в РФ;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отсутствие у банков законодательных оснований, по которым </w:t>
      </w:r>
      <w:proofErr w:type="spellStart"/>
      <w:r w:rsidRPr="00B81C1A">
        <w:t>энергосервисный</w:t>
      </w:r>
      <w:proofErr w:type="spellEnd"/>
      <w:r w:rsidRPr="00B81C1A">
        <w:t xml:space="preserve"> контракт может быть принят банками в виде потенциального залога;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сильный перекос в </w:t>
      </w:r>
      <w:proofErr w:type="spellStart"/>
      <w:r w:rsidRPr="00B81C1A">
        <w:t>энергосервисных</w:t>
      </w:r>
      <w:proofErr w:type="spellEnd"/>
      <w:r w:rsidRPr="00B81C1A">
        <w:t xml:space="preserve"> контрактах в формулировании жестких рамок деятельности и обязанностей исполнителя контракта (</w:t>
      </w:r>
      <w:proofErr w:type="spellStart"/>
      <w:r w:rsidRPr="00B81C1A">
        <w:t>энергосервисной</w:t>
      </w:r>
      <w:proofErr w:type="spellEnd"/>
      <w:r w:rsidRPr="00B81C1A">
        <w:t xml:space="preserve"> компании) в сравнении </w:t>
      </w:r>
      <w:proofErr w:type="spellStart"/>
      <w:r w:rsidRPr="00B81C1A">
        <w:t>c</w:t>
      </w:r>
      <w:proofErr w:type="spellEnd"/>
      <w:r w:rsidRPr="00B81C1A">
        <w:t xml:space="preserve"> заказчиком-потребителем ТЭР;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ограничения, накладываемые Бюджетным кодексом на потенциальных заказчиков-потребителей ТЭР и связанные с этим опасения заказчиков в возможном возникновении обвинений их адрес в нецелевом расходе бюджетных средств.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left="426" w:right="-1" w:firstLine="567"/>
        <w:jc w:val="both"/>
        <w:rPr>
          <w:i/>
        </w:rPr>
      </w:pPr>
      <w:bookmarkStart w:id="16" w:name="5.11_Организационные_мероприятия_по_энер"/>
      <w:bookmarkStart w:id="17" w:name="_bookmark18"/>
      <w:bookmarkEnd w:id="16"/>
      <w:bookmarkEnd w:id="17"/>
      <w:r w:rsidRPr="00B81C1A">
        <w:rPr>
          <w:i/>
        </w:rPr>
        <w:t>Организационные мероприятия по</w:t>
      </w:r>
      <w:r w:rsidRPr="00B81C1A">
        <w:rPr>
          <w:i/>
          <w:spacing w:val="1"/>
        </w:rPr>
        <w:t xml:space="preserve"> </w:t>
      </w:r>
      <w:r w:rsidRPr="00B81C1A">
        <w:rPr>
          <w:i/>
        </w:rPr>
        <w:t>энергосбережению: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проведение совещаний о ходе реализации программных мероприятий по энергосбережению (1 раз в квартал);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постоянное осуществление контроля над закупками оборудования для нужд учреждения на соответствие требованиям энергетической эффективности;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своевременное проведение обследований и ремонт приборов учета и </w:t>
      </w:r>
      <w:r w:rsidRPr="00B81C1A">
        <w:lastRenderedPageBreak/>
        <w:t>регулирования, др. оборудования;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своевременная передача данных показаний приборов учета;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осуществление </w:t>
      </w:r>
      <w:proofErr w:type="gramStart"/>
      <w:r w:rsidRPr="00B81C1A">
        <w:t>контроля за</w:t>
      </w:r>
      <w:proofErr w:type="gramEnd"/>
      <w:r w:rsidRPr="00B81C1A">
        <w:t xml:space="preserve"> правильной эксплуатацией и состоянием оборудования;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осуществление ежедневного </w:t>
      </w:r>
      <w:proofErr w:type="gramStart"/>
      <w:r w:rsidRPr="00B81C1A">
        <w:t>контроля за</w:t>
      </w:r>
      <w:proofErr w:type="gramEnd"/>
      <w:r w:rsidRPr="00B81C1A">
        <w:t xml:space="preserve"> работой электрического освещения, водоснабжения;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недопущение использования электроэнергии на цели, не предусмотренные производственным процессом, а также </w:t>
      </w:r>
      <w:proofErr w:type="gramStart"/>
      <w:r w:rsidRPr="00B81C1A">
        <w:t>контроль за</w:t>
      </w:r>
      <w:proofErr w:type="gramEnd"/>
      <w:r w:rsidRPr="00B81C1A">
        <w:t xml:space="preserve"> выключением из источников питания </w:t>
      </w:r>
      <w:proofErr w:type="spellStart"/>
      <w:r w:rsidRPr="00B81C1A">
        <w:t>электроприемников</w:t>
      </w:r>
      <w:proofErr w:type="spellEnd"/>
      <w:r w:rsidRPr="00B81C1A">
        <w:t xml:space="preserve"> после использования, что позволит сэкономить до 2,7 % потребления электроэнергии;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0,9 % потребления электроэнергии;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>- проведение анализа потребления энергоресурсов и проведение своевременной сверки по данным журнала учёта расхода энергоресурсов и счетам поставщиков;</w:t>
      </w:r>
    </w:p>
    <w:p w:rsidR="00B81C1A" w:rsidRPr="00B81C1A" w:rsidRDefault="00B81C1A" w:rsidP="00B81C1A">
      <w:pPr>
        <w:pStyle w:val="a7"/>
        <w:ind w:right="-1" w:firstLine="993"/>
        <w:jc w:val="both"/>
      </w:pPr>
      <w:r w:rsidRPr="00B81C1A">
        <w:t xml:space="preserve">- </w:t>
      </w:r>
      <w:proofErr w:type="gramStart"/>
      <w:r w:rsidRPr="00B81C1A">
        <w:t>контроль за</w:t>
      </w:r>
      <w:proofErr w:type="gramEnd"/>
      <w:r w:rsidRPr="00B81C1A">
        <w:t xml:space="preserve"> чистотой осветительного оборудования. Загрязнение, в т.ч. пыль, снижает эффективность освещения на 10-30 %. Реализация данного мероприятия экономит 2 % потребления электроэнергии.</w:t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left="0" w:right="-1" w:firstLine="0"/>
        <w:jc w:val="both"/>
        <w:rPr>
          <w:i/>
        </w:rPr>
      </w:pPr>
      <w:r w:rsidRPr="00B81C1A">
        <w:rPr>
          <w:i/>
        </w:rPr>
        <w:t>Определение потенциала снижения потребления и целевого уровня экономии ресурсов (по каждому виду ресурсов, для каждого здания) на трехлетний период</w:t>
      </w:r>
    </w:p>
    <w:p w:rsidR="00B81C1A" w:rsidRPr="00B81C1A" w:rsidRDefault="00B81C1A" w:rsidP="00B81C1A">
      <w:pPr>
        <w:pStyle w:val="ae"/>
        <w:rPr>
          <w:sz w:val="24"/>
          <w:szCs w:val="24"/>
        </w:rPr>
      </w:pPr>
      <w:r w:rsidRPr="00B81C1A">
        <w:rPr>
          <w:sz w:val="24"/>
          <w:szCs w:val="24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B81C1A" w:rsidRPr="00B81C1A" w:rsidRDefault="00B81C1A" w:rsidP="00B81C1A">
      <w:pPr>
        <w:pStyle w:val="ae"/>
        <w:numPr>
          <w:ilvl w:val="0"/>
          <w:numId w:val="6"/>
        </w:numPr>
        <w:tabs>
          <w:tab w:val="clear" w:pos="1572"/>
          <w:tab w:val="clear" w:pos="1701"/>
          <w:tab w:val="left" w:pos="0"/>
        </w:tabs>
        <w:ind w:left="0" w:firstLine="1212"/>
        <w:rPr>
          <w:sz w:val="24"/>
          <w:szCs w:val="24"/>
        </w:rPr>
      </w:pPr>
      <w:r w:rsidRPr="00B81C1A">
        <w:rPr>
          <w:sz w:val="24"/>
          <w:szCs w:val="24"/>
        </w:rPr>
        <w:t>Федерального закона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81C1A" w:rsidRPr="00B81C1A" w:rsidRDefault="00B81C1A" w:rsidP="00B81C1A">
      <w:pPr>
        <w:pStyle w:val="ae"/>
        <w:numPr>
          <w:ilvl w:val="0"/>
          <w:numId w:val="6"/>
        </w:numPr>
        <w:tabs>
          <w:tab w:val="clear" w:pos="1572"/>
          <w:tab w:val="clear" w:pos="1701"/>
          <w:tab w:val="left" w:pos="0"/>
        </w:tabs>
        <w:ind w:left="0" w:firstLine="1212"/>
        <w:rPr>
          <w:sz w:val="24"/>
          <w:szCs w:val="24"/>
        </w:rPr>
      </w:pPr>
      <w:r w:rsidRPr="00B81C1A">
        <w:rPr>
          <w:color w:val="000000"/>
          <w:sz w:val="24"/>
          <w:szCs w:val="24"/>
        </w:rPr>
        <w:t>Приказа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Pr="00B81C1A">
        <w:rPr>
          <w:iCs/>
          <w:sz w:val="24"/>
          <w:szCs w:val="24"/>
        </w:rPr>
        <w:t>, осуществляющих регулируемые виды деятельности, и отчетности о ходе их реализации»;</w:t>
      </w:r>
    </w:p>
    <w:p w:rsidR="00B81C1A" w:rsidRPr="00B81C1A" w:rsidRDefault="00B81C1A" w:rsidP="00B81C1A">
      <w:pPr>
        <w:pStyle w:val="ae"/>
        <w:numPr>
          <w:ilvl w:val="0"/>
          <w:numId w:val="6"/>
        </w:numPr>
        <w:tabs>
          <w:tab w:val="clear" w:pos="1572"/>
          <w:tab w:val="clear" w:pos="1701"/>
          <w:tab w:val="left" w:pos="0"/>
        </w:tabs>
        <w:ind w:left="0" w:firstLine="1212"/>
        <w:rPr>
          <w:sz w:val="24"/>
          <w:szCs w:val="24"/>
        </w:rPr>
      </w:pPr>
      <w:r w:rsidRPr="00B81C1A">
        <w:rPr>
          <w:iCs/>
          <w:sz w:val="24"/>
          <w:szCs w:val="24"/>
        </w:rPr>
        <w:t xml:space="preserve">Приказа Министерства энергетики РФ от 30 июня 2014 г. № 399 </w:t>
      </w:r>
      <w:r w:rsidRPr="00B81C1A">
        <w:rPr>
          <w:color w:val="000000"/>
          <w:sz w:val="24"/>
          <w:szCs w:val="24"/>
        </w:rPr>
        <w:t>«</w:t>
      </w:r>
      <w:r w:rsidRPr="00B81C1A">
        <w:rPr>
          <w:iCs/>
          <w:sz w:val="24"/>
          <w:szCs w:val="24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 w:rsidRPr="00B81C1A">
        <w:rPr>
          <w:sz w:val="24"/>
          <w:szCs w:val="24"/>
        </w:rPr>
        <w:t>;</w:t>
      </w:r>
    </w:p>
    <w:p w:rsidR="00B81C1A" w:rsidRPr="00B81C1A" w:rsidRDefault="00B81C1A" w:rsidP="00B81C1A">
      <w:pPr>
        <w:pStyle w:val="ae"/>
        <w:numPr>
          <w:ilvl w:val="0"/>
          <w:numId w:val="6"/>
        </w:numPr>
        <w:tabs>
          <w:tab w:val="clear" w:pos="1572"/>
          <w:tab w:val="clear" w:pos="1701"/>
          <w:tab w:val="left" w:pos="0"/>
        </w:tabs>
        <w:ind w:left="0" w:firstLine="1212"/>
        <w:rPr>
          <w:sz w:val="24"/>
          <w:szCs w:val="24"/>
        </w:rPr>
      </w:pPr>
      <w:r w:rsidRPr="00B81C1A">
        <w:rPr>
          <w:sz w:val="24"/>
          <w:szCs w:val="24"/>
        </w:rPr>
        <w:t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B81C1A" w:rsidRPr="00B81C1A" w:rsidRDefault="00B81C1A" w:rsidP="00B81C1A">
      <w:pPr>
        <w:pStyle w:val="ae"/>
        <w:rPr>
          <w:sz w:val="24"/>
          <w:szCs w:val="24"/>
        </w:rPr>
      </w:pPr>
      <w:r w:rsidRPr="00B81C1A">
        <w:rPr>
          <w:sz w:val="24"/>
          <w:szCs w:val="24"/>
        </w:rPr>
        <w:t>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так и с нарастающим итогом.</w:t>
      </w:r>
    </w:p>
    <w:p w:rsidR="00B81C1A" w:rsidRPr="00B81C1A" w:rsidRDefault="00B81C1A" w:rsidP="00B81C1A">
      <w:pPr>
        <w:pStyle w:val="a7"/>
        <w:ind w:right="-1" w:firstLine="993"/>
        <w:jc w:val="both"/>
      </w:pPr>
      <w:proofErr w:type="gramStart"/>
      <w:r w:rsidRPr="00B81C1A">
        <w:t>В программу включены обязательные корректировки в соответствии с установленными целевыми уровнями снижения потребления ресурсов, определенными на основании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  <w:proofErr w:type="gramEnd"/>
      <w:r w:rsidRPr="00B81C1A">
        <w:t xml:space="preserve"> Рассчитанные целевые уровни приведены в таблице ниже.</w:t>
      </w:r>
    </w:p>
    <w:p w:rsidR="00B81C1A" w:rsidRPr="00B81C1A" w:rsidRDefault="00B81C1A" w:rsidP="00B81C1A">
      <w:pPr>
        <w:pStyle w:val="ae"/>
        <w:ind w:firstLine="0"/>
        <w:rPr>
          <w:sz w:val="24"/>
          <w:szCs w:val="24"/>
        </w:rPr>
        <w:sectPr w:rsidR="00B81C1A" w:rsidRPr="00B81C1A" w:rsidSect="00DD45A8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8" w:name="6_Методика_расчета_целевых_показателей"/>
      <w:bookmarkStart w:id="19" w:name="_bookmark19"/>
      <w:bookmarkStart w:id="20" w:name="7_Заключительное_положение"/>
      <w:bookmarkStart w:id="21" w:name="_bookmark20"/>
      <w:bookmarkStart w:id="22" w:name="Карта_проекта_№1(технико-экономическая_о"/>
      <w:bookmarkStart w:id="23" w:name="_bookmark21"/>
      <w:bookmarkEnd w:id="18"/>
      <w:bookmarkEnd w:id="19"/>
      <w:bookmarkEnd w:id="20"/>
      <w:bookmarkEnd w:id="21"/>
      <w:bookmarkEnd w:id="22"/>
      <w:bookmarkEnd w:id="23"/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right="839"/>
        <w:jc w:val="both"/>
        <w:rPr>
          <w:i/>
        </w:rPr>
      </w:pPr>
      <w:bookmarkStart w:id="24" w:name="_Toc480962746"/>
      <w:r w:rsidRPr="00B81C1A">
        <w:rPr>
          <w:i/>
        </w:rPr>
        <w:lastRenderedPageBreak/>
        <w:t xml:space="preserve">График внедрения рекомендуемых </w:t>
      </w:r>
      <w:proofErr w:type="spellStart"/>
      <w:r w:rsidRPr="00B81C1A">
        <w:rPr>
          <w:i/>
        </w:rPr>
        <w:t>энергоресурсосберегающих</w:t>
      </w:r>
      <w:proofErr w:type="spellEnd"/>
      <w:r w:rsidRPr="00B81C1A">
        <w:rPr>
          <w:i/>
        </w:rPr>
        <w:t xml:space="preserve"> мероприятий</w:t>
      </w:r>
      <w:bookmarkEnd w:id="24"/>
    </w:p>
    <w:tbl>
      <w:tblPr>
        <w:tblW w:w="10209" w:type="dxa"/>
        <w:tblInd w:w="91" w:type="dxa"/>
        <w:tblLook w:val="04A0"/>
      </w:tblPr>
      <w:tblGrid>
        <w:gridCol w:w="604"/>
        <w:gridCol w:w="7485"/>
        <w:gridCol w:w="2120"/>
      </w:tblGrid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№</w:t>
            </w:r>
          </w:p>
          <w:p w:rsidR="00B81C1A" w:rsidRPr="00B81C1A" w:rsidRDefault="00B81C1A" w:rsidP="00AF7BB6">
            <w:proofErr w:type="spellStart"/>
            <w:proofErr w:type="gramStart"/>
            <w:r w:rsidRPr="00B81C1A">
              <w:t>п</w:t>
            </w:r>
            <w:proofErr w:type="spellEnd"/>
            <w:proofErr w:type="gramEnd"/>
            <w:r w:rsidRPr="00B81C1A">
              <w:t>/</w:t>
            </w:r>
            <w:proofErr w:type="spellStart"/>
            <w:r w:rsidRPr="00B81C1A">
              <w:t>п</w:t>
            </w:r>
            <w:proofErr w:type="spellEnd"/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pPr>
              <w:jc w:val="center"/>
            </w:pPr>
            <w:proofErr w:type="spellStart"/>
            <w:r w:rsidRPr="00B81C1A">
              <w:t>Энергоресурсосберегающие</w:t>
            </w:r>
            <w:proofErr w:type="spellEnd"/>
            <w:r w:rsidRPr="00B81C1A">
              <w:t xml:space="preserve">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Рекомендуемая дата внедрения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/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Организационные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</w:p>
        </w:tc>
      </w:tr>
      <w:tr w:rsidR="00B81C1A" w:rsidRPr="00B81C1A" w:rsidTr="00AF7BB6">
        <w:trPr>
          <w:trHeight w:val="88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Провести инвентаризацию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 xml:space="preserve">Осуществлять соблюдение </w:t>
            </w:r>
            <w:proofErr w:type="gramStart"/>
            <w:r w:rsidRPr="00B81C1A">
              <w:t>графика проверки приборов учета энергоресурсов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Осуществлять проверку работы приборов учета и состояние водопроводной и отопительной систем, своевременно принимать меры по устранению неполадок.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7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4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Осуществлять контроль над соблюдением лимитов потребления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5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Контроль над расходованием электроэнергии в помещениях 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6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Своевременная передача данных показания приборов учета в энергосберегающую компанию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7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Проводить сверки по данным журнала учета расхода энергии и счетам поставщиков 1 раз в квартал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7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8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Контроль над техническим состоянием технологического оборудования в учреждении (своевременный ремонт)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9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proofErr w:type="gramStart"/>
            <w:r w:rsidRPr="00B81C1A">
              <w:t>Контроль за</w:t>
            </w:r>
            <w:proofErr w:type="gramEnd"/>
            <w:r w:rsidRPr="00B81C1A">
              <w:t xml:space="preserve"> расходованием  воды в учреждении, своевременная профилактика утечек воды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10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proofErr w:type="gramStart"/>
            <w:r w:rsidRPr="00B81C1A">
              <w:t>Издать распорядительный документ по подготовке учреждения к началу нового отопительного сезона, определяющий перечень необходимых работ, сроки и ответственных за их выполнение; обеспечивающий исправность всех приборов тепловых сетей, промывку систем отопления, утепление окон и остекление всех оконных проемов,  утепление дверей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Очистка светильников от пыли и отложений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5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12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 xml:space="preserve">Обеспечение выключения электроприборов от сети </w:t>
            </w:r>
            <w:proofErr w:type="gramStart"/>
            <w:r w:rsidRPr="00B81C1A">
              <w:t>при</w:t>
            </w:r>
            <w:proofErr w:type="gramEnd"/>
            <w:r w:rsidRPr="00B81C1A">
              <w:t xml:space="preserve"> их неиспользовании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13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Создание банка информационно-методических материалов для проведения инструктажа по энергосбережению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 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Мониторинговые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14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Анализ годового потребления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15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Ежемесячный анализ расхода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 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Работа с сотрудниками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</w:p>
        </w:tc>
      </w:tr>
      <w:tr w:rsidR="00B81C1A" w:rsidRPr="00B81C1A" w:rsidTr="00AF7BB6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16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Издание приказа о закреплении ответственных за соблюдением экономии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17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 xml:space="preserve">Инструктаж с сотрудниками по </w:t>
            </w:r>
            <w:proofErr w:type="gramStart"/>
            <w:r w:rsidRPr="00B81C1A">
              <w:t>контролю за</w:t>
            </w:r>
            <w:proofErr w:type="gramEnd"/>
            <w:r w:rsidRPr="00B81C1A">
              <w:t xml:space="preserve"> расходованием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18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proofErr w:type="gramStart"/>
            <w:r w:rsidRPr="00B81C1A">
              <w:t>Контроль за</w:t>
            </w:r>
            <w:proofErr w:type="gramEnd"/>
            <w:r w:rsidRPr="00B81C1A">
              <w:t xml:space="preserve"> расходованием электроэнергии, не допускать не целевого использования электроэнергии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t>19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Соблюдать график светового режима в помещениях и на территории 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  <w:tr w:rsidR="00B81C1A" w:rsidRPr="00B81C1A" w:rsidTr="00AF7BB6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A" w:rsidRPr="00B81C1A" w:rsidRDefault="00B81C1A" w:rsidP="00AF7BB6">
            <w:r w:rsidRPr="00B81C1A">
              <w:lastRenderedPageBreak/>
              <w:t>20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A" w:rsidRPr="00B81C1A" w:rsidRDefault="00B81C1A" w:rsidP="00AF7BB6">
            <w:r w:rsidRPr="00B81C1A">
              <w:t>Разработка локальных актов по мотивации сотрудников учреждения на энергосбережение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1A" w:rsidRPr="00B81C1A" w:rsidRDefault="00B81C1A" w:rsidP="00AF7BB6">
            <w:pPr>
              <w:jc w:val="center"/>
            </w:pPr>
            <w:r w:rsidRPr="00B81C1A">
              <w:t>2021 – 2023 гг.</w:t>
            </w:r>
          </w:p>
        </w:tc>
      </w:tr>
    </w:tbl>
    <w:p w:rsidR="00B81C1A" w:rsidRPr="00B81C1A" w:rsidRDefault="00B81C1A" w:rsidP="00B81C1A">
      <w:pPr>
        <w:rPr>
          <w:b/>
          <w:bCs/>
          <w:i/>
        </w:rPr>
      </w:pPr>
      <w:r w:rsidRPr="00B81C1A">
        <w:rPr>
          <w:i/>
        </w:rPr>
        <w:br w:type="page"/>
      </w:r>
    </w:p>
    <w:p w:rsidR="00B81C1A" w:rsidRPr="00B81C1A" w:rsidRDefault="00B81C1A" w:rsidP="00B81C1A">
      <w:pPr>
        <w:pStyle w:val="11"/>
        <w:numPr>
          <w:ilvl w:val="0"/>
          <w:numId w:val="3"/>
        </w:numPr>
        <w:tabs>
          <w:tab w:val="left" w:pos="1341"/>
        </w:tabs>
        <w:ind w:left="426" w:right="839" w:firstLine="567"/>
        <w:jc w:val="both"/>
        <w:rPr>
          <w:i/>
        </w:rPr>
      </w:pPr>
      <w:r w:rsidRPr="00B81C1A">
        <w:rPr>
          <w:i/>
        </w:rPr>
        <w:lastRenderedPageBreak/>
        <w:t>Заключительное</w:t>
      </w:r>
      <w:r w:rsidRPr="00B81C1A">
        <w:rPr>
          <w:i/>
          <w:spacing w:val="1"/>
        </w:rPr>
        <w:t xml:space="preserve"> </w:t>
      </w:r>
      <w:r w:rsidRPr="00B81C1A">
        <w:rPr>
          <w:i/>
          <w:spacing w:val="2"/>
        </w:rPr>
        <w:t>положение</w:t>
      </w:r>
    </w:p>
    <w:p w:rsidR="00B81C1A" w:rsidRPr="00B81C1A" w:rsidRDefault="00B81C1A" w:rsidP="00B81C1A">
      <w:pPr>
        <w:pStyle w:val="a7"/>
        <w:spacing w:before="108"/>
        <w:ind w:left="399" w:right="862" w:firstLine="710"/>
        <w:jc w:val="both"/>
      </w:pPr>
      <w:r w:rsidRPr="00B81C1A">
        <w:t>Программа энергосбережения в Учреждении обеспечивает выполнение основных задач по снижению расходов на энергоснабжение зданий за счет рационального использования всех энергетических ресурсов и повышения эффективности их использования:</w:t>
      </w:r>
    </w:p>
    <w:p w:rsidR="00B81C1A" w:rsidRPr="00B81C1A" w:rsidRDefault="00B81C1A" w:rsidP="00B81C1A">
      <w:pPr>
        <w:pStyle w:val="a9"/>
        <w:numPr>
          <w:ilvl w:val="0"/>
          <w:numId w:val="1"/>
        </w:numPr>
        <w:tabs>
          <w:tab w:val="left" w:pos="1317"/>
        </w:tabs>
        <w:spacing w:before="41"/>
        <w:ind w:right="865" w:firstLine="710"/>
        <w:rPr>
          <w:sz w:val="24"/>
          <w:szCs w:val="24"/>
        </w:rPr>
      </w:pPr>
      <w:r w:rsidRPr="00B81C1A">
        <w:rPr>
          <w:sz w:val="24"/>
          <w:szCs w:val="24"/>
        </w:rPr>
        <w:t>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</w:t>
      </w:r>
      <w:r w:rsidRPr="00B81C1A">
        <w:rPr>
          <w:spacing w:val="5"/>
          <w:sz w:val="24"/>
          <w:szCs w:val="24"/>
        </w:rPr>
        <w:t xml:space="preserve"> </w:t>
      </w:r>
      <w:r w:rsidRPr="00B81C1A">
        <w:rPr>
          <w:sz w:val="24"/>
          <w:szCs w:val="24"/>
        </w:rPr>
        <w:t>учреждения;</w:t>
      </w:r>
    </w:p>
    <w:p w:rsidR="00B81C1A" w:rsidRPr="00B81C1A" w:rsidRDefault="00B81C1A" w:rsidP="00B81C1A">
      <w:pPr>
        <w:pStyle w:val="a9"/>
        <w:numPr>
          <w:ilvl w:val="0"/>
          <w:numId w:val="1"/>
        </w:numPr>
        <w:tabs>
          <w:tab w:val="left" w:pos="1341"/>
        </w:tabs>
        <w:ind w:right="857" w:firstLine="710"/>
        <w:rPr>
          <w:sz w:val="24"/>
          <w:szCs w:val="24"/>
        </w:rPr>
      </w:pPr>
      <w:r w:rsidRPr="00B81C1A">
        <w:rPr>
          <w:sz w:val="24"/>
          <w:szCs w:val="24"/>
        </w:rPr>
        <w:t>разработка мероприятий, обеспечивающих устойчивое снижение потребления энергетических</w:t>
      </w:r>
      <w:r w:rsidRPr="00B81C1A">
        <w:rPr>
          <w:spacing w:val="-4"/>
          <w:sz w:val="24"/>
          <w:szCs w:val="24"/>
        </w:rPr>
        <w:t xml:space="preserve"> </w:t>
      </w:r>
      <w:r w:rsidRPr="00B81C1A">
        <w:rPr>
          <w:sz w:val="24"/>
          <w:szCs w:val="24"/>
        </w:rPr>
        <w:t>ресурсов.</w:t>
      </w:r>
    </w:p>
    <w:p w:rsidR="00B81C1A" w:rsidRPr="00B81C1A" w:rsidRDefault="00B81C1A" w:rsidP="00B81C1A">
      <w:pPr>
        <w:pStyle w:val="a9"/>
        <w:tabs>
          <w:tab w:val="left" w:pos="1341"/>
        </w:tabs>
        <w:ind w:left="1109" w:right="857" w:firstLine="0"/>
        <w:rPr>
          <w:sz w:val="24"/>
          <w:szCs w:val="24"/>
        </w:rPr>
      </w:pPr>
    </w:p>
    <w:p w:rsidR="00B81C1A" w:rsidRPr="00B81C1A" w:rsidRDefault="00B81C1A" w:rsidP="00B81C1A">
      <w:pPr>
        <w:pStyle w:val="a9"/>
        <w:tabs>
          <w:tab w:val="left" w:pos="1341"/>
        </w:tabs>
        <w:ind w:left="-1134" w:right="857" w:firstLine="0"/>
        <w:rPr>
          <w:sz w:val="24"/>
          <w:szCs w:val="24"/>
        </w:rPr>
      </w:pPr>
    </w:p>
    <w:p w:rsidR="00B81C1A" w:rsidRPr="00B81C1A" w:rsidRDefault="00B81C1A" w:rsidP="00B81C1A">
      <w:pPr>
        <w:rPr>
          <w:color w:val="0D0D0D"/>
        </w:rPr>
      </w:pPr>
    </w:p>
    <w:p w:rsidR="00B81C1A" w:rsidRPr="00B81C1A" w:rsidRDefault="00B81C1A" w:rsidP="00B81C1A">
      <w:pPr>
        <w:rPr>
          <w:color w:val="0D0D0D"/>
        </w:rPr>
      </w:pPr>
      <w:r w:rsidRPr="00B81C1A">
        <w:rPr>
          <w:b/>
          <w:color w:val="0D0D0D"/>
        </w:rPr>
        <w:t xml:space="preserve">  </w:t>
      </w:r>
    </w:p>
    <w:p w:rsidR="004C103C" w:rsidRPr="00B81C1A" w:rsidRDefault="004C103C"/>
    <w:sectPr w:rsidR="004C103C" w:rsidRPr="00B81C1A" w:rsidSect="00B81C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14" w:rsidRDefault="002E466B">
    <w:pPr>
      <w:pStyle w:val="a7"/>
      <w:spacing w:line="14" w:lineRule="auto"/>
      <w:rPr>
        <w:sz w:val="14"/>
      </w:rPr>
    </w:pPr>
    <w:r w:rsidRPr="006F0D1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11.3pt;margin-top:781.3pt;width:15.05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RPqgIAAKg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MNIkAZa9MB6g25lj6a2Ol2rE3C6b8HN9LANXXZMdXsn6VeNhNxUROzZjVKyqxgpILvQ3vQvrg44&#10;2oLsug+ygDDkYKQD6kvV2NJBMRCgQ5cez52xqVAbMg7DKWRI4SiczxZg2wgkGS+3Spt3TDbIGilW&#10;0HgHTo532gyuo4uNJWTO6xr2SVKLZxuAOexAaLhqz2wSrpc/4iDeLrfLyIsm860XBVnm3eSbyJvn&#10;4WKWTbPNJgt/2rhhlFS8KJiwYUZdhdGf9e2k8EERZ2VpWfPCwtmUtNrvNrVCRwK6zt13KsiFm/88&#10;DVcv4PKCUjiJgttJ7OXz5cKL8mjmxYtg6QVhfBvPgyiOsvw5pTsu2L9TQl2K49lkNmjpt9wC973m&#10;RpKGG5gcNW9SvDw7kcQqcCsK11pDeD3YF6Ww6T+VAto9Ntrp1Up0EKvpdz2gWBHvZPEIylUSlAXy&#10;hHEHRiXVd4w6GB0p1t8ORDGM6vcC1G/nzGio0diNBhEUrqbYYDSYGzPMo0Or+L4C5OF9CXkDL6Tk&#10;Tr1PWZzeFYwDR+I0uuy8ufx3Xk8Ddv0LAAD//wMAUEsDBBQABgAIAAAAIQCQ688O4AAAAA0BAAAP&#10;AAAAZHJzL2Rvd25yZXYueG1sTI/BTsMwEETvSPyDtUjcqEOkuiHEqSoEJyREGg4cndhNrMbrELtt&#10;+Hs2J3rb3RnNvim2sxvY2UzBepTwuEqAGWy9tthJ+KrfHjJgISrUavBoJPyaANvy9qZQufYXrMx5&#10;HztGIRhyJaGPccw5D21vnAorPxok7eAnpyKtU8f1pC4U7gaeJongTlmkD70azUtv2uP+5CTsvrF6&#10;tT8fzWd1qGxdPyX4Lo5S3t/Nu2dg0czx3wwLPqFDSUyNP6EObJAg0lSQlYS1WCayiHW6AdYspyzb&#10;AC8Lft2i/AMAAP//AwBQSwECLQAUAAYACAAAACEAtoM4kv4AAADhAQAAEwAAAAAAAAAAAAAAAAAA&#10;AAAAW0NvbnRlbnRfVHlwZXNdLnhtbFBLAQItABQABgAIAAAAIQA4/SH/1gAAAJQBAAALAAAAAAAA&#10;AAAAAAAAAC8BAABfcmVscy8ucmVsc1BLAQItABQABgAIAAAAIQBDEYRPqgIAAKgFAAAOAAAAAAAA&#10;AAAAAAAAAC4CAABkcnMvZTJvRG9jLnhtbFBLAQItABQABgAIAAAAIQCQ688O4AAAAA0BAAAPAAAA&#10;AAAAAAAAAAAAAAQFAABkcnMvZG93bnJldi54bWxQSwUGAAAAAAQABADzAAAAEQYAAAAA&#10;" filled="f" stroked="f">
          <v:textbox inset="0,0,0,0">
            <w:txbxContent>
              <w:p w:rsidR="00DB4F14" w:rsidRDefault="002E466B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14" w:rsidRDefault="002E466B">
    <w:pPr>
      <w:pStyle w:val="a7"/>
      <w:spacing w:line="14" w:lineRule="auto"/>
      <w:rPr>
        <w:sz w:val="14"/>
      </w:rPr>
    </w:pPr>
    <w:r w:rsidRPr="006F0D1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1.3pt;margin-top:781.3pt;width:15.0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UargIAAK8FAAAOAAAAZHJzL2Uyb0RvYy54bWysVG1vmzAQ/j5p/8Hydwqk5AVUUiUhTJO6&#10;F6ndD3DABGtge7YT6Kb9951NSNNWk6ZtfEBn+/zcPXeP7+a2bxt0pEozwVMcXgUYUV6IkvF9ir88&#10;5N4CI20IL0kjOE3xI9X4dvn2zU0nEzoRtWhKqhCAcJ10MsW1MTLxfV3UtCX6SkjK4bASqiUGlmrv&#10;l4p0gN42/iQIZn4nVCmVKKjWsJsNh3jp8KuKFuZTVWlqUJNiyM24v3L/nf37yxuS7BWRNStOaZC/&#10;yKIljEPQM1RGDEEHxV5BtaxQQovKXBWi9UVVsYI6DsAmDF6wua+JpI4LFEfLc5n0/4MtPh4/K8TK&#10;FEcYcdJCix5ob9Ba9Ci01emkTsDpXoKb6WEbuuyYankniq8acbGpCd/TlVKiqykpITt307+4OuBo&#10;C7LrPogSwpCDEQ6or1RrSwfFQIAOXXo8d8amUtiQcRheTzEq4CicTedgQ24+ScbLUmnzjooWWSPF&#10;ChrvwMnxTpvBdXSxsbjIWdO45jf82QZgDjsQGq7aM5uE6+WPOIi3i+0i8qLJbOtFQZZ5q3wTebM8&#10;nE+z62yzycKfNm4YJTUrS8ptmFFXYfRnfTspfFDEWVlaNKy0cDYlrfa7TaPQkYCuc/edCnLh5j9P&#10;w9ULuLygFE6iYD2JvXy2mHtRHk29eB4svCCM1/EsiOIoy59TumOc/jsl1KU4nk6mg5Z+yy1w32tu&#10;JGmZgcnRsDbFi7MTSawCt7x0rTWENYN9UQqb/lMpoN1jo51erUQHsZp+17uHcX4GO1E+goCVAIGB&#10;SmHqgVEL9R2jDiZIivW3A1EUo+Y9h0dgx81oqNHYjQbhBVxNscFoMDdmGEsHqdi+BuThmXGxgodS&#10;MSdi+6KGLICBXcBUcFxOE8yOncu183qas8tfAAAA//8DAFBLAwQUAAYACAAAACEAkOvPDuAAAAAN&#10;AQAADwAAAGRycy9kb3ducmV2LnhtbEyPwU7DMBBE70j8g7VI3KhDpLohxKkqBCckRBoOHJ3YTazG&#10;6xC7bfh7Nid6290Zzb4ptrMb2NlMwXqU8LhKgBlsvbbYSfiq3x4yYCEq1GrwaCT8mgDb8vamULn2&#10;F6zMeR87RiEYciWhj3HMOQ9tb5wKKz8aJO3gJ6cirVPH9aQuFO4GniaJ4E5ZpA+9Gs1Lb9rj/uQk&#10;7L6xerU/H81ndahsXT8l+C6OUt7fzbtnYNHM8d8MCz6hQ0lMjT+hDmyQINJUkJWEtVgmsoh1ugHW&#10;LKcs2wAvC37dovwDAAD//wMAUEsBAi0AFAAGAAgAAAAhALaDOJL+AAAA4QEAABMAAAAAAAAAAAAA&#10;AAAAAAAAAFtDb250ZW50X1R5cGVzXS54bWxQSwECLQAUAAYACAAAACEAOP0h/9YAAACUAQAACwAA&#10;AAAAAAAAAAAAAAAvAQAAX3JlbHMvLnJlbHNQSwECLQAUAAYACAAAACEAuJZVGq4CAACvBQAADgAA&#10;AAAAAAAAAAAAAAAuAgAAZHJzL2Uyb0RvYy54bWxQSwECLQAUAAYACAAAACEAkOvPDuAAAAANAQAA&#10;DwAAAAAAAAAAAAAAAAAIBQAAZHJzL2Rvd25yZXYueG1sUEsFBgAAAAAEAAQA8wAAABUGAAAAAA==&#10;" filled="f" stroked="f">
          <v:textbox inset="0,0,0,0">
            <w:txbxContent>
              <w:p w:rsidR="00DB4F14" w:rsidRDefault="002E466B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14" w:rsidRDefault="002E466B" w:rsidP="00DD45A8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4F14" w:rsidRDefault="002E466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14" w:rsidRDefault="002E466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773"/>
    <w:multiLevelType w:val="hybridMultilevel"/>
    <w:tmpl w:val="9F8AE876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>
    <w:nsid w:val="1DEA4F52"/>
    <w:multiLevelType w:val="hybridMultilevel"/>
    <w:tmpl w:val="B8762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D00FBE"/>
    <w:multiLevelType w:val="hybridMultilevel"/>
    <w:tmpl w:val="6DD296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4B3"/>
    <w:multiLevelType w:val="hybridMultilevel"/>
    <w:tmpl w:val="F3E072B0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4">
    <w:nsid w:val="6EB26119"/>
    <w:multiLevelType w:val="hybridMultilevel"/>
    <w:tmpl w:val="A5623FA4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73292AD4"/>
    <w:multiLevelType w:val="hybridMultilevel"/>
    <w:tmpl w:val="8F10CCFE"/>
    <w:lvl w:ilvl="0" w:tplc="BE100E94">
      <w:numFmt w:val="bullet"/>
      <w:lvlText w:val="-"/>
      <w:lvlJc w:val="left"/>
      <w:pPr>
        <w:ind w:left="3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C258C2">
      <w:numFmt w:val="bullet"/>
      <w:lvlText w:val="•"/>
      <w:lvlJc w:val="left"/>
      <w:pPr>
        <w:ind w:left="1421" w:hanging="154"/>
      </w:pPr>
      <w:rPr>
        <w:rFonts w:hint="default"/>
        <w:lang w:val="ru-RU" w:eastAsia="ru-RU" w:bidi="ru-RU"/>
      </w:rPr>
    </w:lvl>
    <w:lvl w:ilvl="2" w:tplc="9314DD54">
      <w:numFmt w:val="bullet"/>
      <w:lvlText w:val="•"/>
      <w:lvlJc w:val="left"/>
      <w:pPr>
        <w:ind w:left="2443" w:hanging="154"/>
      </w:pPr>
      <w:rPr>
        <w:rFonts w:hint="default"/>
        <w:lang w:val="ru-RU" w:eastAsia="ru-RU" w:bidi="ru-RU"/>
      </w:rPr>
    </w:lvl>
    <w:lvl w:ilvl="3" w:tplc="59F6CC24">
      <w:numFmt w:val="bullet"/>
      <w:lvlText w:val="•"/>
      <w:lvlJc w:val="left"/>
      <w:pPr>
        <w:ind w:left="3465" w:hanging="154"/>
      </w:pPr>
      <w:rPr>
        <w:rFonts w:hint="default"/>
        <w:lang w:val="ru-RU" w:eastAsia="ru-RU" w:bidi="ru-RU"/>
      </w:rPr>
    </w:lvl>
    <w:lvl w:ilvl="4" w:tplc="1FD0CBD8">
      <w:numFmt w:val="bullet"/>
      <w:lvlText w:val="•"/>
      <w:lvlJc w:val="left"/>
      <w:pPr>
        <w:ind w:left="4487" w:hanging="154"/>
      </w:pPr>
      <w:rPr>
        <w:rFonts w:hint="default"/>
        <w:lang w:val="ru-RU" w:eastAsia="ru-RU" w:bidi="ru-RU"/>
      </w:rPr>
    </w:lvl>
    <w:lvl w:ilvl="5" w:tplc="CE66B3C2">
      <w:numFmt w:val="bullet"/>
      <w:lvlText w:val="•"/>
      <w:lvlJc w:val="left"/>
      <w:pPr>
        <w:ind w:left="5509" w:hanging="154"/>
      </w:pPr>
      <w:rPr>
        <w:rFonts w:hint="default"/>
        <w:lang w:val="ru-RU" w:eastAsia="ru-RU" w:bidi="ru-RU"/>
      </w:rPr>
    </w:lvl>
    <w:lvl w:ilvl="6" w:tplc="B0567196">
      <w:numFmt w:val="bullet"/>
      <w:lvlText w:val="•"/>
      <w:lvlJc w:val="left"/>
      <w:pPr>
        <w:ind w:left="6531" w:hanging="154"/>
      </w:pPr>
      <w:rPr>
        <w:rFonts w:hint="default"/>
        <w:lang w:val="ru-RU" w:eastAsia="ru-RU" w:bidi="ru-RU"/>
      </w:rPr>
    </w:lvl>
    <w:lvl w:ilvl="7" w:tplc="2C20445E">
      <w:numFmt w:val="bullet"/>
      <w:lvlText w:val="•"/>
      <w:lvlJc w:val="left"/>
      <w:pPr>
        <w:ind w:left="7552" w:hanging="154"/>
      </w:pPr>
      <w:rPr>
        <w:rFonts w:hint="default"/>
        <w:lang w:val="ru-RU" w:eastAsia="ru-RU" w:bidi="ru-RU"/>
      </w:rPr>
    </w:lvl>
    <w:lvl w:ilvl="8" w:tplc="4E44027A">
      <w:numFmt w:val="bullet"/>
      <w:lvlText w:val="•"/>
      <w:lvlJc w:val="left"/>
      <w:pPr>
        <w:ind w:left="8574" w:hanging="15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81C1A"/>
    <w:rsid w:val="000D61BC"/>
    <w:rsid w:val="00115CAE"/>
    <w:rsid w:val="002E466B"/>
    <w:rsid w:val="00392C6D"/>
    <w:rsid w:val="004B6F1E"/>
    <w:rsid w:val="004C103C"/>
    <w:rsid w:val="006F3472"/>
    <w:rsid w:val="00B81C1A"/>
    <w:rsid w:val="00D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81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81C1A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B81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C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B81C1A"/>
    <w:pPr>
      <w:widowControl w:val="0"/>
      <w:autoSpaceDE w:val="0"/>
      <w:autoSpaceDN w:val="0"/>
    </w:pPr>
    <w:rPr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B81C1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B81C1A"/>
    <w:pPr>
      <w:widowControl w:val="0"/>
      <w:autoSpaceDE w:val="0"/>
      <w:autoSpaceDN w:val="0"/>
      <w:spacing w:before="72"/>
      <w:ind w:left="399"/>
      <w:outlineLvl w:val="1"/>
    </w:pPr>
    <w:rPr>
      <w:b/>
      <w:bCs/>
      <w:lang w:bidi="ru-RU"/>
    </w:r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1"/>
    <w:qFormat/>
    <w:rsid w:val="00B81C1A"/>
    <w:pPr>
      <w:widowControl w:val="0"/>
      <w:autoSpaceDE w:val="0"/>
      <w:autoSpaceDN w:val="0"/>
      <w:ind w:left="399" w:firstLine="710"/>
      <w:jc w:val="both"/>
    </w:pPr>
    <w:rPr>
      <w:sz w:val="22"/>
      <w:szCs w:val="22"/>
      <w:lang w:bidi="ru-RU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1"/>
    <w:locked/>
    <w:rsid w:val="00B81C1A"/>
    <w:rPr>
      <w:rFonts w:ascii="Times New Roman" w:eastAsia="Times New Roman" w:hAnsi="Times New Roman" w:cs="Times New Roman"/>
      <w:lang w:eastAsia="ru-RU" w:bidi="ru-RU"/>
    </w:rPr>
  </w:style>
  <w:style w:type="paragraph" w:styleId="ab">
    <w:name w:val="header"/>
    <w:basedOn w:val="a"/>
    <w:link w:val="ac"/>
    <w:unhideWhenUsed/>
    <w:rsid w:val="00B81C1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c">
    <w:name w:val="Верхний колонтитул Знак"/>
    <w:basedOn w:val="a0"/>
    <w:link w:val="ab"/>
    <w:rsid w:val="00B81C1A"/>
    <w:rPr>
      <w:rFonts w:ascii="Times New Roman" w:eastAsia="Times New Roman" w:hAnsi="Times New Roman" w:cs="Times New Roman"/>
      <w:lang w:eastAsia="ru-RU" w:bidi="ru-RU"/>
    </w:rPr>
  </w:style>
  <w:style w:type="paragraph" w:styleId="ad">
    <w:name w:val="No Spacing"/>
    <w:uiPriority w:val="1"/>
    <w:qFormat/>
    <w:rsid w:val="00B81C1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Plain Text"/>
    <w:aliases w:val="Знак7"/>
    <w:basedOn w:val="a"/>
    <w:link w:val="af"/>
    <w:rsid w:val="00B81C1A"/>
    <w:pPr>
      <w:tabs>
        <w:tab w:val="left" w:pos="1701"/>
      </w:tabs>
      <w:ind w:firstLine="851"/>
      <w:jc w:val="both"/>
    </w:pPr>
    <w:rPr>
      <w:rFonts w:eastAsia="SimSun"/>
      <w:sz w:val="28"/>
      <w:szCs w:val="20"/>
    </w:rPr>
  </w:style>
  <w:style w:type="character" w:customStyle="1" w:styleId="af">
    <w:name w:val="Текст Знак"/>
    <w:aliases w:val="Знак7 Знак"/>
    <w:basedOn w:val="a0"/>
    <w:link w:val="ae"/>
    <w:rsid w:val="00B81C1A"/>
    <w:rPr>
      <w:rFonts w:ascii="Times New Roman" w:eastAsia="SimSu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B81C1A"/>
  </w:style>
  <w:style w:type="paragraph" w:styleId="af1">
    <w:name w:val="Title"/>
    <w:basedOn w:val="a"/>
    <w:link w:val="af2"/>
    <w:qFormat/>
    <w:rsid w:val="00B81C1A"/>
    <w:pPr>
      <w:keepNext/>
      <w:keepLines/>
      <w:suppressAutoHyphens/>
      <w:spacing w:line="252" w:lineRule="auto"/>
      <w:jc w:val="center"/>
    </w:pPr>
    <w:rPr>
      <w:rFonts w:eastAsia="SimSun"/>
      <w:bCs/>
      <w:caps/>
      <w:sz w:val="28"/>
      <w:szCs w:val="32"/>
    </w:rPr>
  </w:style>
  <w:style w:type="character" w:customStyle="1" w:styleId="af2">
    <w:name w:val="Название Знак"/>
    <w:basedOn w:val="a0"/>
    <w:link w:val="af1"/>
    <w:rsid w:val="00B81C1A"/>
    <w:rPr>
      <w:rFonts w:ascii="Times New Roman" w:eastAsia="SimSun" w:hAnsi="Times New Roman" w:cs="Times New Roman"/>
      <w:bCs/>
      <w:caps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2022-06-01T10:13:00Z</dcterms:created>
  <dcterms:modified xsi:type="dcterms:W3CDTF">2022-06-01T11:07:00Z</dcterms:modified>
</cp:coreProperties>
</file>