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2" w:rsidRDefault="003C4266" w:rsidP="003C4266">
      <w:pPr>
        <w:tabs>
          <w:tab w:val="center" w:pos="4677"/>
          <w:tab w:val="left" w:pos="8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</w:t>
      </w:r>
    </w:p>
    <w:tbl>
      <w:tblPr>
        <w:tblW w:w="0" w:type="auto"/>
        <w:tblInd w:w="-34" w:type="dxa"/>
        <w:tblLook w:val="0000"/>
      </w:tblPr>
      <w:tblGrid>
        <w:gridCol w:w="4171"/>
        <w:gridCol w:w="82"/>
        <w:gridCol w:w="1305"/>
        <w:gridCol w:w="3895"/>
      </w:tblGrid>
      <w:tr w:rsidR="002D6F92" w:rsidTr="0029720A">
        <w:trPr>
          <w:cantSplit/>
          <w:trHeight w:val="304"/>
        </w:trPr>
        <w:tc>
          <w:tcPr>
            <w:tcW w:w="4253" w:type="dxa"/>
            <w:gridSpan w:val="2"/>
          </w:tcPr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2526665</wp:posOffset>
                  </wp:positionH>
                  <wp:positionV relativeFrom="paragraph">
                    <wp:posOffset>1905</wp:posOffset>
                  </wp:positionV>
                  <wp:extent cx="720090" cy="720090"/>
                  <wp:effectExtent l="19050" t="0" r="3810" b="0"/>
                  <wp:wrapNone/>
                  <wp:docPr id="4" name="Рисунок 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ШЁМЁРШЁ 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  РАЙОН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305" w:type="dxa"/>
            <w:vMerge w:val="restart"/>
          </w:tcPr>
          <w:p w:rsidR="002D6F92" w:rsidRDefault="002D6F92" w:rsidP="00D4130C">
            <w:pPr>
              <w:jc w:val="center"/>
              <w:rPr>
                <w:sz w:val="26"/>
              </w:rPr>
            </w:pPr>
          </w:p>
        </w:tc>
        <w:tc>
          <w:tcPr>
            <w:tcW w:w="3895" w:type="dxa"/>
          </w:tcPr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ЧУВАШСКАЯ РЕСПУБЛИКА</w:t>
            </w: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ШЕМУРШИНСКИЙ   РАЙОН</w:t>
            </w:r>
          </w:p>
        </w:tc>
      </w:tr>
      <w:tr w:rsidR="002D6F92" w:rsidTr="0029720A">
        <w:trPr>
          <w:cantSplit/>
          <w:trHeight w:val="1703"/>
        </w:trPr>
        <w:tc>
          <w:tcPr>
            <w:tcW w:w="4253" w:type="dxa"/>
            <w:gridSpan w:val="2"/>
          </w:tcPr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ЧУКАЛ ЯЛ ПОСЕЛЕНИЙ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Н</w:t>
            </w:r>
          </w:p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</w:rPr>
            </w:pPr>
            <w:r w:rsidRPr="00A77313"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АДМИНИСТРАЦИЙ</w:t>
            </w:r>
            <w:r w:rsidRPr="00A77313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Ě</w:t>
            </w:r>
          </w:p>
          <w:p w:rsidR="002D6F92" w:rsidRPr="00A77313" w:rsidRDefault="002D6F92" w:rsidP="00D4130C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</w:rPr>
            </w:pPr>
          </w:p>
          <w:p w:rsidR="002D6F92" w:rsidRDefault="002D6F92" w:rsidP="00D4130C">
            <w:pPr>
              <w:spacing w:before="40"/>
              <w:jc w:val="center"/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</w:pPr>
            <w:r w:rsidRPr="004B6EC9">
              <w:rPr>
                <w:rStyle w:val="ac"/>
                <w:rFonts w:ascii="Arial Cyr Chuv" w:eastAsia="SimSun" w:hAnsi="Arial Cyr Chuv" w:cs="Arial"/>
                <w:noProof/>
                <w:color w:val="000000"/>
              </w:rPr>
              <w:t>ЙЫШЁНУ</w:t>
            </w:r>
          </w:p>
          <w:p w:rsidR="002D6F92" w:rsidRPr="00210E52" w:rsidRDefault="002D6F92" w:rsidP="00D4130C">
            <w:pPr>
              <w:pStyle w:val="a6"/>
              <w:jc w:val="center"/>
              <w:rPr>
                <w:noProof/>
              </w:rPr>
            </w:pPr>
            <w:r w:rsidRPr="00210E52">
              <w:rPr>
                <w:noProof/>
              </w:rPr>
              <w:t>«</w:t>
            </w:r>
            <w:r w:rsidR="00E6242A">
              <w:rPr>
                <w:noProof/>
              </w:rPr>
              <w:t>07</w:t>
            </w:r>
            <w:r w:rsidRPr="00210E52">
              <w:rPr>
                <w:noProof/>
              </w:rPr>
              <w:t xml:space="preserve">»  </w:t>
            </w:r>
            <w:r w:rsidR="003832FB">
              <w:rPr>
                <w:noProof/>
              </w:rPr>
              <w:t>ака</w:t>
            </w:r>
            <w:r w:rsidRPr="00210E52">
              <w:rPr>
                <w:noProof/>
              </w:rPr>
              <w:t xml:space="preserve">  202</w:t>
            </w:r>
            <w:r w:rsidR="00E6242A">
              <w:rPr>
                <w:noProof/>
              </w:rPr>
              <w:t>2</w:t>
            </w:r>
            <w:r>
              <w:rPr>
                <w:noProof/>
              </w:rPr>
              <w:t xml:space="preserve"> </w:t>
            </w:r>
            <w:r w:rsidRPr="00210E52">
              <w:rPr>
                <w:rStyle w:val="extended-textshort"/>
              </w:rPr>
              <w:t xml:space="preserve">ҫ. </w:t>
            </w:r>
            <w:r w:rsidRPr="00210E52">
              <w:rPr>
                <w:noProof/>
              </w:rPr>
              <w:t>№</w:t>
            </w:r>
            <w:r w:rsidR="00254CFA">
              <w:rPr>
                <w:noProof/>
              </w:rPr>
              <w:t xml:space="preserve"> </w:t>
            </w:r>
            <w:r w:rsidR="00E6242A">
              <w:rPr>
                <w:noProof/>
              </w:rPr>
              <w:t>12</w:t>
            </w:r>
          </w:p>
          <w:p w:rsidR="002D6F92" w:rsidRPr="007D6714" w:rsidRDefault="002D6F92" w:rsidP="00D4130C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 w:rsidRPr="007D6714">
              <w:rPr>
                <w:noProof/>
                <w:sz w:val="20"/>
                <w:szCs w:val="20"/>
              </w:rPr>
              <w:t>Выр</w:t>
            </w:r>
            <w:r>
              <w:rPr>
                <w:noProof/>
                <w:sz w:val="20"/>
                <w:szCs w:val="20"/>
              </w:rPr>
              <w:t>а</w:t>
            </w:r>
            <w:r w:rsidRPr="007D6714">
              <w:rPr>
                <w:noProof/>
                <w:sz w:val="20"/>
                <w:szCs w:val="20"/>
              </w:rPr>
              <w:t>с Чукал  ял.</w:t>
            </w:r>
          </w:p>
        </w:tc>
        <w:tc>
          <w:tcPr>
            <w:tcW w:w="1305" w:type="dxa"/>
            <w:vMerge/>
          </w:tcPr>
          <w:p w:rsidR="002D6F92" w:rsidRDefault="002D6F92" w:rsidP="00D4130C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3895" w:type="dxa"/>
          </w:tcPr>
          <w:p w:rsidR="002D6F92" w:rsidRPr="007D6714" w:rsidRDefault="002D6F92" w:rsidP="00D4130C">
            <w:pPr>
              <w:pStyle w:val="aa"/>
              <w:spacing w:before="8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</w:pPr>
            <w:r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ЧУКАЛЬСКОГО  СЕЛЬСКОГО</w:t>
            </w:r>
          </w:p>
          <w:p w:rsidR="002D6F92" w:rsidRPr="007D6714" w:rsidRDefault="00E6242A" w:rsidP="00D4130C">
            <w:pPr>
              <w:pStyle w:val="aa"/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2D6F92" w:rsidRPr="007D6714">
              <w:rPr>
                <w:rFonts w:ascii="Arial Cyr Chuv" w:hAnsi="Arial Cyr Chuv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</w:p>
          <w:p w:rsidR="002D6F92" w:rsidRPr="007D6714" w:rsidRDefault="002D6F92" w:rsidP="00D4130C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</w:p>
          <w:p w:rsidR="002D6F92" w:rsidRPr="007D6714" w:rsidRDefault="00E6242A" w:rsidP="00D4130C">
            <w:pPr>
              <w:pStyle w:val="aa"/>
              <w:spacing w:line="192" w:lineRule="auto"/>
              <w:jc w:val="center"/>
              <w:rPr>
                <w:rStyle w:val="ac"/>
                <w:rFonts w:ascii="Times New Roman" w:eastAsia="SimSun" w:hAnsi="Times New Roman"/>
                <w:noProof/>
                <w:color w:val="000000"/>
                <w:sz w:val="22"/>
                <w:szCs w:val="22"/>
              </w:rPr>
            </w:pPr>
            <w:r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 xml:space="preserve"> </w:t>
            </w:r>
            <w:r w:rsidR="002D6F92" w:rsidRPr="007D6714">
              <w:rPr>
                <w:rStyle w:val="ac"/>
                <w:rFonts w:ascii="Arial Cyr Chuv" w:eastAsia="SimSun" w:hAnsi="Arial Cyr Chuv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2D6F92" w:rsidRDefault="002D6F92" w:rsidP="00D4130C">
            <w:pPr>
              <w:pStyle w:val="a6"/>
              <w:jc w:val="center"/>
              <w:rPr>
                <w:noProof/>
              </w:rPr>
            </w:pPr>
          </w:p>
          <w:p w:rsidR="002D6F92" w:rsidRPr="007D6714" w:rsidRDefault="00E6242A" w:rsidP="00E6242A">
            <w:pPr>
              <w:pStyle w:val="a6"/>
              <w:rPr>
                <w:noProof/>
              </w:rPr>
            </w:pPr>
            <w:r>
              <w:rPr>
                <w:noProof/>
              </w:rPr>
              <w:t xml:space="preserve">            «07</w:t>
            </w:r>
            <w:r w:rsidR="002D6F92" w:rsidRPr="007D6714">
              <w:rPr>
                <w:noProof/>
              </w:rPr>
              <w:t xml:space="preserve">» </w:t>
            </w:r>
            <w:r w:rsidR="003832FB">
              <w:rPr>
                <w:noProof/>
              </w:rPr>
              <w:t>апреля</w:t>
            </w:r>
            <w:r w:rsidR="002D6F92" w:rsidRPr="007D6714">
              <w:rPr>
                <w:noProof/>
              </w:rPr>
              <w:t xml:space="preserve">  202</w:t>
            </w:r>
            <w:r>
              <w:rPr>
                <w:noProof/>
              </w:rPr>
              <w:t>2</w:t>
            </w:r>
            <w:r w:rsidR="002D6F92" w:rsidRPr="007D6714">
              <w:rPr>
                <w:noProof/>
              </w:rPr>
              <w:t xml:space="preserve"> г.  №</w:t>
            </w:r>
            <w:r w:rsidR="00254CFA">
              <w:rPr>
                <w:noProof/>
              </w:rPr>
              <w:t xml:space="preserve"> </w:t>
            </w:r>
            <w:r>
              <w:rPr>
                <w:noProof/>
              </w:rPr>
              <w:t>12</w:t>
            </w:r>
          </w:p>
          <w:p w:rsidR="002D6F92" w:rsidRPr="007D6714" w:rsidRDefault="00E6242A" w:rsidP="00D4130C">
            <w:pPr>
              <w:pStyle w:val="a6"/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  <w:r>
              <w:rPr>
                <w:rFonts w:ascii="Arial Cyr Chuv" w:hAnsi="Arial Cyr Chuv"/>
                <w:noProof/>
                <w:sz w:val="20"/>
                <w:szCs w:val="20"/>
              </w:rPr>
              <w:t xml:space="preserve"> </w:t>
            </w:r>
            <w:r w:rsidR="002D6F92" w:rsidRPr="007D6714">
              <w:rPr>
                <w:rFonts w:ascii="Arial Cyr Chuv" w:hAnsi="Arial Cyr Chuv"/>
                <w:noProof/>
                <w:sz w:val="20"/>
                <w:szCs w:val="20"/>
              </w:rPr>
              <w:t>деревня Русские Чукалы</w:t>
            </w:r>
          </w:p>
        </w:tc>
      </w:tr>
      <w:tr w:rsidR="002D6F92" w:rsidTr="002D6F92">
        <w:trPr>
          <w:trHeight w:val="58"/>
        </w:trPr>
        <w:tc>
          <w:tcPr>
            <w:tcW w:w="4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BB66F0" w:rsidRDefault="002D6F92" w:rsidP="00D4130C">
            <w:pPr>
              <w:jc w:val="both"/>
              <w:rPr>
                <w:highlight w:val="yellow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Pr="00BB66F0" w:rsidRDefault="002D6F92" w:rsidP="00D4130C">
            <w:pPr>
              <w:jc w:val="center"/>
              <w:rPr>
                <w:highlight w:val="yellow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F92" w:rsidRDefault="002D6F92" w:rsidP="00D4130C">
            <w:pPr>
              <w:jc w:val="both"/>
            </w:pPr>
          </w:p>
        </w:tc>
      </w:tr>
    </w:tbl>
    <w:p w:rsidR="008035AA" w:rsidRPr="00FC7723" w:rsidRDefault="008035AA" w:rsidP="00A2584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3832FB" w:rsidRPr="00207050" w:rsidRDefault="003832FB" w:rsidP="00E6242A">
      <w:pPr>
        <w:tabs>
          <w:tab w:val="left" w:pos="4536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мерах по обеспечению </w:t>
      </w:r>
      <w:proofErr w:type="gramStart"/>
      <w:r w:rsidRPr="0020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пожарной</w:t>
      </w:r>
      <w:proofErr w:type="gramEnd"/>
    </w:p>
    <w:p w:rsidR="003832FB" w:rsidRPr="00207050" w:rsidRDefault="003832FB" w:rsidP="00E6242A">
      <w:pPr>
        <w:tabs>
          <w:tab w:val="left" w:pos="4536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безопасности </w:t>
      </w:r>
      <w:r w:rsidR="00D86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населенных пу</w:t>
      </w:r>
      <w:r w:rsidR="00C17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D86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ктов</w:t>
      </w:r>
      <w:r w:rsidRPr="0020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объектов</w:t>
      </w:r>
      <w:r w:rsidR="00A25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экономики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Чукальского</w:t>
      </w:r>
      <w:r w:rsidRPr="0020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в весенне-летний период 202</w:t>
      </w:r>
      <w:r w:rsidR="000E5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0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A25842" w:rsidRDefault="00A25842" w:rsidP="00A25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3832FB" w:rsidRPr="00207050" w:rsidRDefault="00A25842" w:rsidP="00A258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  предупреждения пожаров, предотвращения гибели людей, своевременного проведения противопожарных мероприятий, организации тушения  возникших загораний и улучшения пожарной безопасности поселения в весенне-летний период, руководствуясь ст.19, ст. 25, ст. 37  Федерального Закона № 69 – ФЗ «О пожарной безопасности» от 21 декабря 1994 года (в редакции от 09.05.2005 года)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Чукальского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Шемуршинского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п о с т а н о в л я е т</w:t>
      </w:r>
      <w:r w:rsidR="003832FB" w:rsidRPr="0020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32FB" w:rsidRPr="00207050" w:rsidRDefault="00A25842" w:rsidP="00A2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3832FB" w:rsidRPr="00207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Главе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Чукальского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Чугунову Г.П.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руководителям учреждений, предприятий, организаций всех форм собственности (по согласованию) принять меры по обеспечению пожарной безопасности </w:t>
      </w:r>
      <w:r w:rsidR="00D8647D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объектов всех видов собственности, поддержание добровольной пожарной дружины,  пожарной мотопомпы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постоянной боевой готовности.</w:t>
      </w:r>
    </w:p>
    <w:p w:rsidR="003832FB" w:rsidRPr="00950241" w:rsidRDefault="003832FB" w:rsidP="00A25842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4431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50241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Рекомендовать директору МБОУ «</w:t>
      </w:r>
      <w:proofErr w:type="spellStart"/>
      <w:r w:rsidR="00E6242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Старочукальская</w:t>
      </w:r>
      <w:proofErr w:type="spellEnd"/>
      <w:r w:rsidR="00E624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950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  активизировать работу по изучению учащимися основ пожарной безопасности. Совместно с инспекторами пожарной части ОНД </w:t>
      </w:r>
      <w:r w:rsidR="00A258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Шемуршинского района</w:t>
      </w:r>
      <w:r w:rsidRPr="00950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ЧР совершенствовать работу по проведению  викторин и тематических дней на противопожарную тематику.</w:t>
      </w:r>
    </w:p>
    <w:p w:rsidR="003832FB" w:rsidRPr="00207050" w:rsidRDefault="0044431B" w:rsidP="0038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32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Утвердить План мероприятий по организации подготовки к пожароопасному сезону   в  </w:t>
      </w:r>
      <w:r w:rsidR="00A25842">
        <w:rPr>
          <w:rFonts w:ascii="Times New Roman" w:eastAsia="Times New Roman" w:hAnsi="Times New Roman" w:cs="Times New Roman"/>
          <w:color w:val="000000"/>
          <w:sz w:val="24"/>
          <w:szCs w:val="24"/>
        </w:rPr>
        <w:t>Чукальском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поселении </w:t>
      </w:r>
      <w:r w:rsidR="00A25842">
        <w:rPr>
          <w:rFonts w:ascii="Times New Roman" w:eastAsia="Times New Roman" w:hAnsi="Times New Roman" w:cs="Times New Roman"/>
          <w:color w:val="000000"/>
          <w:sz w:val="24"/>
          <w:szCs w:val="24"/>
        </w:rPr>
        <w:t>Шемуршинского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на 202</w:t>
      </w:r>
      <w:r w:rsidR="00E624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3832FB" w:rsidRPr="00207050" w:rsidRDefault="003832FB" w:rsidP="0038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(Приложение)</w:t>
      </w:r>
    </w:p>
    <w:p w:rsidR="003832FB" w:rsidRPr="00207050" w:rsidRDefault="003832FB" w:rsidP="003832F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за выполнением настоящего постановления  оставляю за собой.</w:t>
      </w:r>
    </w:p>
    <w:p w:rsidR="00A25842" w:rsidRDefault="00A25842" w:rsidP="00383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842" w:rsidRDefault="00A25842" w:rsidP="0038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842" w:rsidRDefault="00A25842" w:rsidP="0038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842" w:rsidRDefault="003832FB" w:rsidP="0038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050"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A25842">
        <w:rPr>
          <w:rFonts w:ascii="Times New Roman" w:eastAsia="Times New Roman" w:hAnsi="Times New Roman" w:cs="Times New Roman"/>
          <w:sz w:val="24"/>
          <w:szCs w:val="24"/>
        </w:rPr>
        <w:t xml:space="preserve"> Чукальского сельского поселения </w:t>
      </w:r>
    </w:p>
    <w:p w:rsidR="003832FB" w:rsidRPr="00207050" w:rsidRDefault="00A25842" w:rsidP="00A25842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Шемуршинского района Чувашской Республики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Г.П.Чугунов</w:t>
      </w:r>
    </w:p>
    <w:p w:rsidR="003832FB" w:rsidRPr="00207050" w:rsidRDefault="003832FB" w:rsidP="0038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32FB" w:rsidRDefault="003832FB" w:rsidP="00383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832FB" w:rsidRPr="00207050" w:rsidRDefault="003832FB" w:rsidP="00A258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Pr="002070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3832FB" w:rsidRPr="00207050" w:rsidRDefault="003832FB" w:rsidP="00A25842">
      <w:pPr>
        <w:spacing w:after="0" w:line="240" w:lineRule="auto"/>
        <w:ind w:left="510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A25842" w:rsidRDefault="00A25842" w:rsidP="00A25842">
      <w:pPr>
        <w:spacing w:after="0" w:line="240" w:lineRule="auto"/>
        <w:ind w:left="58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остановлением</w:t>
      </w:r>
      <w:r w:rsidR="00383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bookmarkStart w:id="0" w:name="_GoBack"/>
      <w:bookmarkEnd w:id="0"/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Чукальского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Шемуршинского </w:t>
      </w:r>
      <w:r w:rsidR="003832FB"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3832FB" w:rsidRPr="00207050" w:rsidRDefault="003832FB" w:rsidP="00A25842">
      <w:pPr>
        <w:spacing w:after="0" w:line="240" w:lineRule="auto"/>
        <w:ind w:left="5814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A2584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6242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</w:t>
      </w:r>
      <w:r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624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№</w:t>
      </w:r>
      <w:r w:rsidR="00E6242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207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5842" w:rsidRDefault="00A25842" w:rsidP="00A25842">
      <w:pPr>
        <w:pStyle w:val="a6"/>
        <w:jc w:val="center"/>
        <w:rPr>
          <w:rFonts w:ascii="Times New Roman" w:hAnsi="Times New Roman" w:cs="Times New Roman"/>
          <w:b/>
        </w:rPr>
      </w:pPr>
    </w:p>
    <w:p w:rsidR="00A25842" w:rsidRPr="00A25842" w:rsidRDefault="003832FB" w:rsidP="00A25842">
      <w:pPr>
        <w:pStyle w:val="a6"/>
        <w:jc w:val="center"/>
        <w:rPr>
          <w:rFonts w:ascii="Times New Roman" w:hAnsi="Times New Roman" w:cs="Times New Roman"/>
          <w:b/>
        </w:rPr>
      </w:pPr>
      <w:r w:rsidRPr="00A25842">
        <w:rPr>
          <w:rFonts w:ascii="Times New Roman" w:hAnsi="Times New Roman" w:cs="Times New Roman"/>
          <w:b/>
        </w:rPr>
        <w:t>План</w:t>
      </w:r>
    </w:p>
    <w:p w:rsidR="003832FB" w:rsidRDefault="003832FB" w:rsidP="00A25842">
      <w:pPr>
        <w:pStyle w:val="a6"/>
        <w:jc w:val="center"/>
        <w:rPr>
          <w:rFonts w:ascii="Times New Roman" w:hAnsi="Times New Roman" w:cs="Times New Roman"/>
          <w:b/>
          <w:spacing w:val="-2"/>
        </w:rPr>
      </w:pPr>
      <w:r w:rsidRPr="00A25842">
        <w:rPr>
          <w:rFonts w:ascii="Times New Roman" w:hAnsi="Times New Roman" w:cs="Times New Roman"/>
          <w:b/>
          <w:spacing w:val="-2"/>
        </w:rPr>
        <w:t xml:space="preserve">мероприятий по организации подготовки к пожароопасному сезону   в  </w:t>
      </w:r>
      <w:r w:rsidR="0029720A">
        <w:rPr>
          <w:rFonts w:ascii="Times New Roman" w:hAnsi="Times New Roman" w:cs="Times New Roman"/>
          <w:b/>
          <w:spacing w:val="-2"/>
        </w:rPr>
        <w:t>Чукальском</w:t>
      </w:r>
      <w:r w:rsidRPr="00A25842">
        <w:rPr>
          <w:rFonts w:ascii="Times New Roman" w:hAnsi="Times New Roman" w:cs="Times New Roman"/>
          <w:b/>
          <w:spacing w:val="-2"/>
        </w:rPr>
        <w:t xml:space="preserve"> сельском поселении </w:t>
      </w:r>
      <w:r w:rsidR="0029720A">
        <w:rPr>
          <w:rFonts w:ascii="Times New Roman" w:hAnsi="Times New Roman" w:cs="Times New Roman"/>
          <w:b/>
          <w:spacing w:val="-2"/>
        </w:rPr>
        <w:t>Шемуршинского</w:t>
      </w:r>
      <w:r w:rsidRPr="00A25842">
        <w:rPr>
          <w:rFonts w:ascii="Times New Roman" w:hAnsi="Times New Roman" w:cs="Times New Roman"/>
          <w:b/>
          <w:spacing w:val="-2"/>
        </w:rPr>
        <w:t xml:space="preserve"> района Чувашской Республики на 202</w:t>
      </w:r>
      <w:r w:rsidR="00E6242A">
        <w:rPr>
          <w:rFonts w:ascii="Times New Roman" w:hAnsi="Times New Roman" w:cs="Times New Roman"/>
          <w:b/>
          <w:spacing w:val="-2"/>
        </w:rPr>
        <w:t>2</w:t>
      </w:r>
      <w:r w:rsidRPr="00A25842">
        <w:rPr>
          <w:rFonts w:ascii="Times New Roman" w:hAnsi="Times New Roman" w:cs="Times New Roman"/>
          <w:b/>
          <w:spacing w:val="-2"/>
        </w:rPr>
        <w:t xml:space="preserve"> год</w:t>
      </w:r>
    </w:p>
    <w:p w:rsidR="0029720A" w:rsidRPr="00A25842" w:rsidRDefault="0029720A" w:rsidP="00A25842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94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660"/>
        <w:gridCol w:w="3558"/>
        <w:gridCol w:w="1796"/>
        <w:gridCol w:w="2474"/>
        <w:gridCol w:w="977"/>
      </w:tblGrid>
      <w:tr w:rsidR="003832FB" w:rsidRPr="00207050" w:rsidTr="0029720A">
        <w:trPr>
          <w:trHeight w:val="30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33D33"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33D33"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3832FB" w:rsidRPr="00207050" w:rsidTr="002972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>Проводить обучение граждан по месту жительства мерам пожарной безопасности в быту,  порядку оповещения, сбора, а также содержания и применения первичных средств пожаротушения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 xml:space="preserve">Организовать </w:t>
            </w:r>
            <w:r w:rsidR="0029720A" w:rsidRPr="0029720A">
              <w:rPr>
                <w:rFonts w:ascii="Times New Roman" w:hAnsi="Times New Roman" w:cs="Times New Roman"/>
              </w:rPr>
              <w:t>р</w:t>
            </w:r>
            <w:r w:rsidRPr="0029720A">
              <w:rPr>
                <w:rFonts w:ascii="Times New Roman" w:hAnsi="Times New Roman" w:cs="Times New Roman"/>
              </w:rPr>
              <w:t>аспространение среди населения агитационных и</w:t>
            </w:r>
            <w:r w:rsidR="0029720A" w:rsidRPr="0029720A">
              <w:rPr>
                <w:rFonts w:ascii="Times New Roman" w:hAnsi="Times New Roman" w:cs="Times New Roman"/>
              </w:rPr>
              <w:t xml:space="preserve"> пропагандистских материалов, а </w:t>
            </w:r>
            <w:r w:rsidRPr="0029720A">
              <w:rPr>
                <w:rFonts w:ascii="Times New Roman" w:hAnsi="Times New Roman" w:cs="Times New Roman"/>
              </w:rPr>
              <w:t>также других пожарно-профилактических материалов. Довести до сведения населения информацию</w:t>
            </w:r>
            <w:r w:rsidR="0029720A" w:rsidRPr="0029720A">
              <w:rPr>
                <w:rFonts w:ascii="Times New Roman" w:hAnsi="Times New Roman" w:cs="Times New Roman"/>
              </w:rPr>
              <w:t xml:space="preserve"> </w:t>
            </w:r>
            <w:r w:rsidRPr="0029720A">
              <w:rPr>
                <w:rFonts w:ascii="Times New Roman" w:hAnsi="Times New Roman" w:cs="Times New Roman"/>
              </w:rPr>
              <w:t>о</w:t>
            </w:r>
            <w:r w:rsidR="0029720A" w:rsidRPr="0029720A">
              <w:rPr>
                <w:rFonts w:ascii="Times New Roman" w:hAnsi="Times New Roman" w:cs="Times New Roman"/>
              </w:rPr>
              <w:t xml:space="preserve"> </w:t>
            </w:r>
            <w:r w:rsidRPr="0029720A">
              <w:rPr>
                <w:rFonts w:ascii="Times New Roman" w:hAnsi="Times New Roman" w:cs="Times New Roman"/>
              </w:rPr>
              <w:t xml:space="preserve"> функционировании телефонов единой службы спасения «01» и «112»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поселения (по согласованию)</w:t>
            </w:r>
          </w:p>
          <w:p w:rsidR="003832FB" w:rsidRPr="00207050" w:rsidRDefault="003832FB" w:rsidP="0029720A">
            <w:pPr>
              <w:spacing w:before="100" w:beforeAutospacing="1" w:after="100" w:afterAutospacing="1" w:line="274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>Разработать и утвердить планы мероприятий по обеспечению противопожарной защиты населенных пунктов и</w:t>
            </w:r>
            <w:r w:rsidR="0029720A" w:rsidRPr="0029720A">
              <w:rPr>
                <w:rFonts w:ascii="Times New Roman" w:hAnsi="Times New Roman" w:cs="Times New Roman"/>
              </w:rPr>
              <w:t xml:space="preserve"> </w:t>
            </w:r>
            <w:r w:rsidRPr="0029720A">
              <w:rPr>
                <w:rFonts w:ascii="Times New Roman" w:hAnsi="Times New Roman" w:cs="Times New Roman"/>
              </w:rPr>
              <w:t>объектов  на 2021 год. В указанных планах предусмотреть мероприятия по подготовке к весенне - летнему  пожароопасному периоду, предотвращение и ликвидацию пожаров в населенных пунктах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до 4 апреля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 xml:space="preserve">Организовать и </w:t>
            </w:r>
            <w:r w:rsidR="0029720A" w:rsidRPr="0029720A">
              <w:rPr>
                <w:rFonts w:ascii="Times New Roman" w:hAnsi="Times New Roman" w:cs="Times New Roman"/>
              </w:rPr>
              <w:t>провести</w:t>
            </w:r>
            <w:r w:rsidRPr="0029720A">
              <w:rPr>
                <w:rFonts w:ascii="Times New Roman" w:hAnsi="Times New Roman" w:cs="Times New Roman"/>
              </w:rPr>
              <w:t>  проверки выполнения требований пожарной безопасности жилищного фонда, объектов с массовым пребыванием людей, уделив особое внимание оздоровительным и школьным лагерям, учреждениям здравоохранения и социальной защиты населения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сельского поселения</w:t>
            </w:r>
          </w:p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 xml:space="preserve">Организовать и провести встречи с населением по вопросам пожарной безопасности. Определить и обеспечить реализацию </w:t>
            </w:r>
            <w:r w:rsidRPr="0029720A">
              <w:rPr>
                <w:rFonts w:ascii="Times New Roman" w:hAnsi="Times New Roman" w:cs="Times New Roman"/>
              </w:rPr>
              <w:lastRenderedPageBreak/>
              <w:t>мероприятий, направленных на выполнение требований Правил пожарной безопасности. Организовать обучение мерам пожарной безопасности, порядку оповещения, сбора, а также содержания и применения первичных средств пожаротушения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>Осуществить проверку технического состояния противопожарного водоснабжения населенных пунктов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rPr>
          <w:trHeight w:val="3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>Проверить исправность устройств для забора воды пожарными автомобилями, обеспечить подъезды к ним. Произвести ремонт систем противопожарного водоснабжения, а также профилактическое обслуживание, ремонт электрических проводок, электрооборудования, подтягивание провисших линий электропередач, ревизию молние</w:t>
            </w:r>
            <w:r w:rsidR="0029720A">
              <w:rPr>
                <w:rFonts w:ascii="Times New Roman" w:hAnsi="Times New Roman" w:cs="Times New Roman"/>
              </w:rPr>
              <w:t xml:space="preserve"> </w:t>
            </w:r>
            <w:r w:rsidRPr="0029720A">
              <w:rPr>
                <w:rFonts w:ascii="Times New Roman" w:hAnsi="Times New Roman" w:cs="Times New Roman"/>
              </w:rPr>
              <w:t>защиты, поддерживать их в надлежащем состоянии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29720A" w:rsidP="0029720A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832FB"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руководители учреждений и организаци</w:t>
            </w:r>
            <w:r w:rsidR="00A33D33"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й (</w:t>
            </w: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>Рассмотреть проблемные вопросы в области обеспечения пожарной безопасности в населенных пунктах на заседаниях комиссии по ликвидации чрезвычайных ситуаций и обеспечению пожарной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>Обеспечить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подворного обхода. Установить и довести до сведения каждого жителя сигналы об экстренной эвакуации и порядок действий по ним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>С наступлением сухой и ветреной погоды на территории населенных пунктов, ввести на пожароопасных объектах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мусора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9720A" w:rsidRDefault="003832FB" w:rsidP="0029720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9720A">
              <w:rPr>
                <w:rFonts w:ascii="Times New Roman" w:hAnsi="Times New Roman" w:cs="Times New Roman"/>
              </w:rPr>
              <w:t xml:space="preserve">Организовать освещение в электронных и печатных СМИ </w:t>
            </w:r>
            <w:r w:rsidRPr="0029720A">
              <w:rPr>
                <w:rFonts w:ascii="Times New Roman" w:hAnsi="Times New Roman" w:cs="Times New Roman"/>
              </w:rPr>
              <w:lastRenderedPageBreak/>
              <w:t xml:space="preserve">мероприятий, проводимых </w:t>
            </w:r>
            <w:r w:rsidRPr="0029720A">
              <w:rPr>
                <w:rFonts w:ascii="Times New Roman" w:hAnsi="Times New Roman" w:cs="Times New Roman"/>
                <w:color w:val="000000"/>
                <w:spacing w:val="-2"/>
              </w:rPr>
              <w:t>по организации подготовки к пожароопасному сезону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07050" w:rsidRDefault="003832FB" w:rsidP="0029720A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32FB" w:rsidRPr="00207050" w:rsidRDefault="003832FB" w:rsidP="0029720A">
            <w:pPr>
              <w:spacing w:after="0" w:line="240" w:lineRule="auto"/>
              <w:ind w:firstLine="56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832FB" w:rsidRPr="00207050" w:rsidTr="0029720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07050" w:rsidRDefault="003832FB" w:rsidP="001057B8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07050" w:rsidRDefault="003832FB" w:rsidP="001057B8">
            <w:pPr>
              <w:spacing w:before="100" w:beforeAutospacing="1" w:after="100" w:afterAutospacing="1" w:line="274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07050" w:rsidRDefault="003832FB" w:rsidP="001057B8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2FB" w:rsidRPr="00207050" w:rsidRDefault="003832FB" w:rsidP="001057B8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2FB" w:rsidRPr="00207050" w:rsidRDefault="003832FB" w:rsidP="001057B8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84141" w:rsidRPr="00C241AC" w:rsidRDefault="00B84141" w:rsidP="003832FB">
      <w:pPr>
        <w:pStyle w:val="a6"/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sectPr w:rsidR="00B84141" w:rsidRPr="00C241AC" w:rsidSect="00A8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1CC" w:rsidRDefault="00CA01CC" w:rsidP="003C4266">
      <w:pPr>
        <w:spacing w:after="0" w:line="240" w:lineRule="auto"/>
      </w:pPr>
      <w:r>
        <w:separator/>
      </w:r>
    </w:p>
  </w:endnote>
  <w:endnote w:type="continuationSeparator" w:id="0">
    <w:p w:rsidR="00CA01CC" w:rsidRDefault="00CA01CC" w:rsidP="003C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1CC" w:rsidRDefault="00CA01CC" w:rsidP="003C4266">
      <w:pPr>
        <w:spacing w:after="0" w:line="240" w:lineRule="auto"/>
      </w:pPr>
      <w:r>
        <w:separator/>
      </w:r>
    </w:p>
  </w:footnote>
  <w:footnote w:type="continuationSeparator" w:id="0">
    <w:p w:rsidR="00CA01CC" w:rsidRDefault="00CA01CC" w:rsidP="003C4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E51"/>
    <w:multiLevelType w:val="hybridMultilevel"/>
    <w:tmpl w:val="37D205F2"/>
    <w:lvl w:ilvl="0" w:tplc="991EBC40">
      <w:start w:val="1"/>
      <w:numFmt w:val="decimal"/>
      <w:lvlText w:val="%1)"/>
      <w:lvlJc w:val="left"/>
      <w:pPr>
        <w:ind w:left="1879" w:hanging="450"/>
      </w:pPr>
      <w:rPr>
        <w:rFonts w:ascii="PT Serif" w:eastAsiaTheme="minorHAnsi" w:hAnsi="PT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ECB7DA9"/>
    <w:multiLevelType w:val="multilevel"/>
    <w:tmpl w:val="2F5096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1E7"/>
    <w:rsid w:val="0008501C"/>
    <w:rsid w:val="00097665"/>
    <w:rsid w:val="000C6FF6"/>
    <w:rsid w:val="000E5374"/>
    <w:rsid w:val="000F1A45"/>
    <w:rsid w:val="000F2E4B"/>
    <w:rsid w:val="00132815"/>
    <w:rsid w:val="00143F9B"/>
    <w:rsid w:val="00147ECC"/>
    <w:rsid w:val="001843ED"/>
    <w:rsid w:val="00184E92"/>
    <w:rsid w:val="00207A52"/>
    <w:rsid w:val="002148E8"/>
    <w:rsid w:val="00226632"/>
    <w:rsid w:val="00254CFA"/>
    <w:rsid w:val="002877D6"/>
    <w:rsid w:val="00295435"/>
    <w:rsid w:val="0029720A"/>
    <w:rsid w:val="002D6F92"/>
    <w:rsid w:val="002E2620"/>
    <w:rsid w:val="002F6CDA"/>
    <w:rsid w:val="0033211B"/>
    <w:rsid w:val="00355102"/>
    <w:rsid w:val="00381AC2"/>
    <w:rsid w:val="003832FB"/>
    <w:rsid w:val="003C4266"/>
    <w:rsid w:val="003D1A35"/>
    <w:rsid w:val="003E4C7D"/>
    <w:rsid w:val="003E51E7"/>
    <w:rsid w:val="004136A9"/>
    <w:rsid w:val="004150D8"/>
    <w:rsid w:val="0043010F"/>
    <w:rsid w:val="004340D1"/>
    <w:rsid w:val="0044431B"/>
    <w:rsid w:val="004B21E8"/>
    <w:rsid w:val="004C3B75"/>
    <w:rsid w:val="004C55F2"/>
    <w:rsid w:val="004F3C8E"/>
    <w:rsid w:val="005A1418"/>
    <w:rsid w:val="005A310B"/>
    <w:rsid w:val="005A5937"/>
    <w:rsid w:val="005F6F68"/>
    <w:rsid w:val="00643C7B"/>
    <w:rsid w:val="006A138F"/>
    <w:rsid w:val="006C3AFC"/>
    <w:rsid w:val="006F5E06"/>
    <w:rsid w:val="00757A91"/>
    <w:rsid w:val="00782421"/>
    <w:rsid w:val="007C21E4"/>
    <w:rsid w:val="008035AA"/>
    <w:rsid w:val="0084746B"/>
    <w:rsid w:val="00886A5B"/>
    <w:rsid w:val="008B76CC"/>
    <w:rsid w:val="00960B9B"/>
    <w:rsid w:val="009C6830"/>
    <w:rsid w:val="009D6E07"/>
    <w:rsid w:val="009F2112"/>
    <w:rsid w:val="00A026AB"/>
    <w:rsid w:val="00A25842"/>
    <w:rsid w:val="00A32A07"/>
    <w:rsid w:val="00A33D33"/>
    <w:rsid w:val="00A43046"/>
    <w:rsid w:val="00A4563E"/>
    <w:rsid w:val="00A54DAD"/>
    <w:rsid w:val="00A6614D"/>
    <w:rsid w:val="00A66BF9"/>
    <w:rsid w:val="00A84935"/>
    <w:rsid w:val="00A858F7"/>
    <w:rsid w:val="00AA0908"/>
    <w:rsid w:val="00AB6AE9"/>
    <w:rsid w:val="00AE6CC0"/>
    <w:rsid w:val="00B15788"/>
    <w:rsid w:val="00B2154A"/>
    <w:rsid w:val="00B319D3"/>
    <w:rsid w:val="00B4544D"/>
    <w:rsid w:val="00B53338"/>
    <w:rsid w:val="00B60736"/>
    <w:rsid w:val="00B70A9E"/>
    <w:rsid w:val="00B84141"/>
    <w:rsid w:val="00BB38A6"/>
    <w:rsid w:val="00BB5BCF"/>
    <w:rsid w:val="00C04615"/>
    <w:rsid w:val="00C12342"/>
    <w:rsid w:val="00C17B8B"/>
    <w:rsid w:val="00C21162"/>
    <w:rsid w:val="00C241AC"/>
    <w:rsid w:val="00C3419B"/>
    <w:rsid w:val="00C611A8"/>
    <w:rsid w:val="00C76C20"/>
    <w:rsid w:val="00C964E8"/>
    <w:rsid w:val="00CA01CC"/>
    <w:rsid w:val="00CF7832"/>
    <w:rsid w:val="00D43CA7"/>
    <w:rsid w:val="00D559FD"/>
    <w:rsid w:val="00D60DC7"/>
    <w:rsid w:val="00D701C9"/>
    <w:rsid w:val="00D80327"/>
    <w:rsid w:val="00D8647D"/>
    <w:rsid w:val="00DE3829"/>
    <w:rsid w:val="00E32F5B"/>
    <w:rsid w:val="00E3343A"/>
    <w:rsid w:val="00E6242A"/>
    <w:rsid w:val="00E64B4A"/>
    <w:rsid w:val="00E653CB"/>
    <w:rsid w:val="00ED5EF3"/>
    <w:rsid w:val="00EE729E"/>
    <w:rsid w:val="00F00025"/>
    <w:rsid w:val="00F106B2"/>
    <w:rsid w:val="00F179CC"/>
    <w:rsid w:val="00F30FCB"/>
    <w:rsid w:val="00F72621"/>
    <w:rsid w:val="00F73800"/>
    <w:rsid w:val="00FA7E3F"/>
    <w:rsid w:val="00FC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F7"/>
  </w:style>
  <w:style w:type="paragraph" w:styleId="1">
    <w:name w:val="heading 1"/>
    <w:basedOn w:val="a"/>
    <w:next w:val="a"/>
    <w:link w:val="10"/>
    <w:uiPriority w:val="99"/>
    <w:qFormat/>
    <w:rsid w:val="00FC77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1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778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C7784"/>
    <w:rPr>
      <w:color w:val="106BBE"/>
    </w:rPr>
  </w:style>
  <w:style w:type="paragraph" w:styleId="a6">
    <w:name w:val="No Spacing"/>
    <w:uiPriority w:val="1"/>
    <w:qFormat/>
    <w:rsid w:val="00184E92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Комментарий"/>
    <w:basedOn w:val="a"/>
    <w:next w:val="a"/>
    <w:uiPriority w:val="99"/>
    <w:rsid w:val="004340D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styleId="a8">
    <w:name w:val="Emphasis"/>
    <w:basedOn w:val="a0"/>
    <w:uiPriority w:val="20"/>
    <w:qFormat/>
    <w:rsid w:val="004340D1"/>
    <w:rPr>
      <w:i/>
      <w:iCs/>
    </w:rPr>
  </w:style>
  <w:style w:type="character" w:customStyle="1" w:styleId="blk">
    <w:name w:val="blk"/>
    <w:basedOn w:val="a0"/>
    <w:rsid w:val="00A4563E"/>
  </w:style>
  <w:style w:type="character" w:styleId="a9">
    <w:name w:val="Hyperlink"/>
    <w:basedOn w:val="a0"/>
    <w:uiPriority w:val="99"/>
    <w:unhideWhenUsed/>
    <w:rsid w:val="00A4563E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link w:val="ab"/>
    <w:rsid w:val="00A849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аблицы (моноширинный) Знак"/>
    <w:link w:val="aa"/>
    <w:rsid w:val="00A84935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Цветовое выделение"/>
    <w:uiPriority w:val="99"/>
    <w:rsid w:val="00A84935"/>
    <w:rPr>
      <w:b/>
      <w:bCs/>
      <w:color w:val="000080"/>
    </w:rPr>
  </w:style>
  <w:style w:type="paragraph" w:styleId="ad">
    <w:name w:val="header"/>
    <w:basedOn w:val="a"/>
    <w:link w:val="ae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C4266"/>
  </w:style>
  <w:style w:type="paragraph" w:styleId="af">
    <w:name w:val="footer"/>
    <w:basedOn w:val="a"/>
    <w:link w:val="af0"/>
    <w:uiPriority w:val="99"/>
    <w:semiHidden/>
    <w:unhideWhenUsed/>
    <w:rsid w:val="003C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C4266"/>
  </w:style>
  <w:style w:type="character" w:customStyle="1" w:styleId="extended-textshort">
    <w:name w:val="extended-text__short"/>
    <w:basedOn w:val="a0"/>
    <w:rsid w:val="002D6F92"/>
  </w:style>
  <w:style w:type="paragraph" w:styleId="af1">
    <w:name w:val="List Paragraph"/>
    <w:basedOn w:val="a"/>
    <w:uiPriority w:val="34"/>
    <w:qFormat/>
    <w:rsid w:val="00803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7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Специалист</cp:lastModifiedBy>
  <cp:revision>4</cp:revision>
  <cp:lastPrinted>2021-04-12T11:37:00Z</cp:lastPrinted>
  <dcterms:created xsi:type="dcterms:W3CDTF">2022-04-14T08:43:00Z</dcterms:created>
  <dcterms:modified xsi:type="dcterms:W3CDTF">2022-04-20T08:31:00Z</dcterms:modified>
</cp:coreProperties>
</file>