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0" w:rsidRPr="00B91C38" w:rsidRDefault="00C13F30" w:rsidP="00C13F30">
      <w:pPr>
        <w:tabs>
          <w:tab w:val="left" w:pos="2694"/>
          <w:tab w:val="left" w:pos="3261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38"/>
        <w:tblW w:w="0" w:type="auto"/>
        <w:tblLook w:val="0000"/>
      </w:tblPr>
      <w:tblGrid>
        <w:gridCol w:w="4195"/>
        <w:gridCol w:w="1173"/>
        <w:gridCol w:w="4202"/>
      </w:tblGrid>
      <w:tr w:rsidR="00C13F30" w:rsidRPr="00B91C38" w:rsidTr="00936024">
        <w:trPr>
          <w:cantSplit/>
          <w:trHeight w:val="435"/>
        </w:trPr>
        <w:tc>
          <w:tcPr>
            <w:tcW w:w="4195" w:type="dxa"/>
          </w:tcPr>
          <w:p w:rsidR="00C13F30" w:rsidRPr="00B91C38" w:rsidRDefault="00C13F30" w:rsidP="0093602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C13F30" w:rsidRPr="00B91C38" w:rsidRDefault="00C13F30" w:rsidP="0093602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ПАТАРЬЕЛ  РАЙОНĚ</w:t>
            </w:r>
          </w:p>
        </w:tc>
        <w:tc>
          <w:tcPr>
            <w:tcW w:w="1173" w:type="dxa"/>
            <w:vMerge w:val="restart"/>
          </w:tcPr>
          <w:p w:rsidR="00C13F30" w:rsidRPr="00B91C38" w:rsidRDefault="00C13F30" w:rsidP="00936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3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-103505</wp:posOffset>
                  </wp:positionH>
                  <wp:positionV relativeFrom="paragraph">
                    <wp:posOffset>-405765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C13F30" w:rsidRPr="00B91C38" w:rsidRDefault="00C13F30" w:rsidP="0093602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C13F30" w:rsidRPr="00B91C38" w:rsidRDefault="00C13F30" w:rsidP="0093602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БАТЫРЕВСКИЙ РАЙОН</w:t>
            </w:r>
          </w:p>
        </w:tc>
      </w:tr>
      <w:tr w:rsidR="00C13F30" w:rsidRPr="00B91C38" w:rsidTr="00936024">
        <w:trPr>
          <w:cantSplit/>
          <w:trHeight w:val="2325"/>
        </w:trPr>
        <w:tc>
          <w:tcPr>
            <w:tcW w:w="4195" w:type="dxa"/>
          </w:tcPr>
          <w:p w:rsidR="00C13F30" w:rsidRPr="00B91C38" w:rsidRDefault="00C13F30" w:rsidP="00C13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ЫХРА СЫРМИ  ЯЛ   ПОСЕЛЕНИЙĚН </w:t>
            </w:r>
            <w:r w:rsidRPr="00B91C3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АДМИНИСТРАЦИЙĔ</w:t>
            </w:r>
          </w:p>
          <w:p w:rsidR="00C13F30" w:rsidRPr="00B91C38" w:rsidRDefault="00C13F30" w:rsidP="0093602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1C38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C13F30" w:rsidRPr="00B91C38" w:rsidRDefault="00C13F30" w:rsidP="00936024">
            <w:pPr>
              <w:pStyle w:val="a7"/>
              <w:ind w:right="-35"/>
              <w:jc w:val="center"/>
              <w:rPr>
                <w:rFonts w:ascii="Times New Roman" w:hAnsi="Times New Roman" w:cs="Times New Roman"/>
              </w:rPr>
            </w:pPr>
            <w:r w:rsidRPr="00B91C38">
              <w:rPr>
                <w:rFonts w:ascii="Times New Roman" w:hAnsi="Times New Roman" w:cs="Times New Roman"/>
                <w:noProof/>
                <w:color w:val="000000"/>
              </w:rPr>
              <w:t>28.02.2022 г. № 10</w:t>
            </w:r>
          </w:p>
          <w:p w:rsidR="00C13F30" w:rsidRPr="00B91C38" w:rsidRDefault="00C13F30" w:rsidP="00936024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B91C3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Ыхра  Сырми  яле</w:t>
            </w:r>
          </w:p>
        </w:tc>
        <w:tc>
          <w:tcPr>
            <w:tcW w:w="0" w:type="auto"/>
            <w:vMerge/>
            <w:vAlign w:val="center"/>
          </w:tcPr>
          <w:p w:rsidR="00C13F30" w:rsidRPr="00B91C38" w:rsidRDefault="00C13F30" w:rsidP="00936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2" w:type="dxa"/>
          </w:tcPr>
          <w:p w:rsidR="00C13F30" w:rsidRPr="00B91C38" w:rsidRDefault="00C13F30" w:rsidP="00936024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C13F30" w:rsidRPr="00B91C38" w:rsidRDefault="00C13F30" w:rsidP="0093602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91C38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ДОЛГООСТРОВСКОГО СЕЛЬСКОГО  ПОСЕЛЕНИЯ</w:t>
            </w:r>
          </w:p>
          <w:p w:rsidR="00C13F30" w:rsidRPr="00B91C38" w:rsidRDefault="00C13F30" w:rsidP="0093602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3F30" w:rsidRPr="00B91C38" w:rsidRDefault="00C13F30" w:rsidP="00C13F30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B91C38">
              <w:rPr>
                <w:rStyle w:val="a6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C13F30" w:rsidRPr="00B91C38" w:rsidRDefault="00C13F30" w:rsidP="00936024">
            <w:pPr>
              <w:pStyle w:val="a7"/>
              <w:ind w:right="-35"/>
              <w:jc w:val="center"/>
              <w:rPr>
                <w:rFonts w:ascii="Times New Roman" w:hAnsi="Times New Roman" w:cs="Times New Roman"/>
              </w:rPr>
            </w:pPr>
            <w:r w:rsidRPr="00B91C38">
              <w:rPr>
                <w:rFonts w:ascii="Times New Roman" w:hAnsi="Times New Roman" w:cs="Times New Roman"/>
                <w:noProof/>
                <w:color w:val="000000"/>
              </w:rPr>
              <w:t>28.02.2022г. № 10</w:t>
            </w:r>
          </w:p>
          <w:p w:rsidR="00C13F30" w:rsidRPr="00B91C38" w:rsidRDefault="00C13F30" w:rsidP="00936024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91C38">
              <w:rPr>
                <w:rFonts w:ascii="Times New Roman" w:hAnsi="Times New Roman" w:cs="Times New Roman"/>
                <w:noProof/>
                <w:sz w:val="20"/>
                <w:szCs w:val="20"/>
              </w:rPr>
              <w:t>дер. Долгий Остров</w:t>
            </w:r>
          </w:p>
        </w:tc>
      </w:tr>
    </w:tbl>
    <w:p w:rsidR="00BF740F" w:rsidRPr="00B91C38" w:rsidRDefault="00C31A72" w:rsidP="00C31A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 внесении изменений в постановление администрации </w:t>
      </w:r>
      <w:r w:rsidR="00C13F30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Долгоостровского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</w:t>
      </w:r>
      <w:r w:rsidR="00FB5EDE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от 10.10.2017 г. №49</w:t>
      </w:r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«Об утверждении 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</w:t>
      </w:r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регламента администрации </w:t>
      </w:r>
      <w:r w:rsidR="00C13F30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Долгоостровского</w:t>
      </w:r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</w:t>
      </w:r>
      <w:proofErr w:type="spellStart"/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Батыревского</w:t>
      </w:r>
      <w:proofErr w:type="spellEnd"/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района Чувашской Республики по предоставлению муниципальной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</w:t>
      </w:r>
      <w:r w:rsidR="00BF740F"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услуги «Выдача разрешения на ввод объекта в эксплуатацию»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Рассмотрев протест прокуратуры 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о</w:t>
      </w:r>
      <w:r w:rsidR="00FB5EDE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т 29.12.2021 № 03-06-2021/Прдп48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8-21-20970004, в целях устранения нарушений федерального законодательства в градостроительной деятельности, руководствуясь Уставом </w:t>
      </w:r>
      <w:r w:rsidR="00C13F30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района, администрация </w:t>
      </w:r>
      <w:r w:rsidR="00C13F30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ПОСТАНОВЛЯЕТ:</w:t>
      </w:r>
    </w:p>
    <w:p w:rsidR="004822F2" w:rsidRPr="00B91C38" w:rsidRDefault="00BF740F" w:rsidP="0006327C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Внести в постановление администрации </w:t>
      </w:r>
      <w:r w:rsidR="00C13F30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сельского поселения от </w:t>
      </w:r>
      <w:r w:rsidR="004822F2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10.10.2017 г. № 49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«Об утверждении административного регламента администрации </w:t>
      </w:r>
      <w:r w:rsidR="00C13F30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сельского поселения 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Чувашской Республики по предоставлению муниципальной услуги «Выдача разрешения на ввод объекта в эксплуатацию» (с изменениями, внесенными постановлениями администрации </w:t>
      </w:r>
      <w:r w:rsidR="00C13F30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r w:rsidR="00041664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сельского поселения 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439E" w:rsidRPr="00B91C38">
        <w:rPr>
          <w:rFonts w:ascii="Times New Roman" w:hAnsi="Times New Roman" w:cs="Times New Roman"/>
          <w:bCs/>
          <w:sz w:val="20"/>
          <w:szCs w:val="20"/>
        </w:rPr>
        <w:t>от 18.09.2018 № 32, от 09.09.2019 № 28, от 06.03.2020 №6.1., 10.07.2020 №21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) следующие изменения:</w:t>
      </w:r>
      <w:r w:rsidR="004822F2" w:rsidRPr="00B91C3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822F2" w:rsidRPr="00B91C38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1)      пункт 2.3. изложить в следующей редакции: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«2.3. Описание результата предоставления муниципальной услуги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Конечным результатом предоставления муниципальной услуги является: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выдача разрешения на ввод объекта капитального строительства в эксплуатацию, внесение изменений в разрешение на ввод объекта капитального строительства в эксплуатацию;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уведомление об отказе в выдаче разрешения на ввод объекта капитального строительства в эксплуатацию, внесении изменений в разрешение на ввод объекта капитального строительства в эксплуатацию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.»;</w:t>
      </w:r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2)      пункт 2.4. изложить в следующей редакции: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«2.4. Срок предоставления муниципальной услуги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Разрешение на ввод объекта капитального строительства в эксплуатацию, внесение изменений в разрешение на ввод объекта капитального строительства в эксплуатацию или уведомление об отказе в выдаче разрешения на ввод объекта капитального строительства в эксплуатацию, внесении изменений в разрешение на ввод объекта капитального строительства в эксплуатацию выдается в течение 5 рабочих дней со дня получения </w:t>
      </w:r>
      <w:hyperlink r:id="rId6" w:anchor="P602" w:history="1">
        <w:r w:rsidRPr="00B91C38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заявления</w:t>
        </w:r>
      </w:hyperlink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о выдаче разрешения, оформленного в соответствии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приложением № 2 к Административному регламенту. Указанные документы выдаются (направляются) заявителю в течение 1 дня со дня подписания, но не позднее 5 рабочих дней со дня поступления заявления о выдаче разрешения на ввод объекта капитального строительства в эксплуатацию, внесение изменений в разрешение на ввод объекта капитального строительства в эксплуатацию. Если последний день приходится на нерабочий 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.»;</w:t>
      </w:r>
      <w:bookmarkStart w:id="0" w:name="_Hlk34914246"/>
      <w:bookmarkEnd w:id="0"/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3)      часть 2 добавить  пункт 2.6.1 следующего содержания: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«1. В случае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2. Обязательным приложением к указанному в части 5.1 Градостроительного кодекса РФ  заявлению является технический план объекта капитального строительства. Застройщик также представляет иные документы, предусмотренные частью 3  ст.55 Градостроительного кодекса РФ, если в такие документы внесены изменения в связи с подготовкой технического плана объекта капитального строительства в соответствии с частью 5.1 Градостроительного кодекса РФ.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власти, орган исполнительной власти субъекта Российской Федерации, орган местного самоуправления, Государственная корпорация по атомной энергии "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Росатом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" или Государственная корпорация по космической деятельности "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Роскосмос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", выдавшие разрешение на ввод объекта капитального строительства в эксплуатацию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.» </w:t>
      </w:r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4)      пункт 2.10. изложить в следующей редакции: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«2.10.  Основанием для отказа в выдаче разрешения на ввод объекта капитального строительства в эксплуатацию, во внесении изменений в разрешение на ввод объекта капитального строительства в эксплуатацию является: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1) отсутствие документов, указанных в п. 2.6 Административного регламента;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7" w:anchor="dst100014" w:history="1">
        <w:r w:rsidRPr="00B91C38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случаев</w:t>
        </w:r>
      </w:hyperlink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в соответствии с </w:t>
      </w:r>
      <w:hyperlink r:id="rId8" w:anchor="dst3216" w:history="1">
        <w:r w:rsidRPr="00B91C38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частью 6.2</w:t>
        </w:r>
      </w:hyperlink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ГрК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случаев изменения площади объекта капитального строительства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 </w:t>
      </w:r>
      <w:hyperlink r:id="rId9" w:anchor="dst3216" w:history="1">
        <w:r w:rsidRPr="00B91C38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частью 6.2</w:t>
        </w:r>
      </w:hyperlink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ГрК</w:t>
      </w:r>
      <w:proofErr w:type="spell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10" w:anchor="dst2536" w:history="1">
        <w:r w:rsidRPr="00B91C38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пунктом 9 части 7 статьи 51</w:t>
        </w:r>
      </w:hyperlink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ГрКРФ</w:t>
      </w:r>
      <w:proofErr w:type="spellEnd"/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 строящийся, реконструируемый объект капитального строительства, в связи с размещением 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.»;</w:t>
      </w:r>
      <w:proofErr w:type="gramEnd"/>
    </w:p>
    <w:p w:rsidR="00BF740F" w:rsidRPr="00B91C38" w:rsidRDefault="0006327C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5)    </w:t>
      </w:r>
      <w:r w:rsidR="00BF740F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абзац второй подпункта 3.1.1. Административного регламента изложить в следующей редакции: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«Основанием для предоставления муниципальной услуги является представление Заявления о выдаче разрешения на ввод объекта капитального строительства в эксплуатацию, документов, предусмотренных </w:t>
      </w:r>
      <w:hyperlink r:id="rId11" w:anchor="P137" w:history="1">
        <w:r w:rsidRPr="00B91C38">
          <w:rPr>
            <w:rFonts w:ascii="Times New Roman" w:eastAsia="Times New Roman" w:hAnsi="Times New Roman" w:cs="Times New Roman"/>
            <w:color w:val="333333"/>
            <w:sz w:val="20"/>
            <w:szCs w:val="20"/>
          </w:rPr>
          <w:t>подразделом 2.6</w:t>
        </w:r>
      </w:hyperlink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настоящего Административного регламента,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выдача указанного разрешения могут осуществляться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:»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; </w:t>
      </w:r>
    </w:p>
    <w:p w:rsidR="00BF740F" w:rsidRPr="00B91C38" w:rsidRDefault="004822F2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6)     </w:t>
      </w:r>
      <w:r w:rsidR="00BF740F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 часть 3 дополнить пунктом 3.6 следующего содержания: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«3.6. Порядок исправления допущенных опечаток и ошибок в выданных в результате предоставления муниципальной услуги документах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Основанием для начала административной процедуры является поступление в администрацию органа местного самоуправления заявления об исправлении опечатки и (или) ошибки (описки, опечатки, грамматической или арифметической ошибки) в сведениях, указанных в разрешении на ввод объекта в эксплуатацию или в отказе в выдаче разрешения на ввод объекта в эксплуатацию, допущенной администрацией при выдаче результата предоставления муниципальной услуги (далее - техническая ошибка).</w:t>
      </w:r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обращении об исправлении технических ошибок заявитель (его уполномоченный представитель) представляют: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 об исправлении допущенных опечаток и ошибок в разрешении на ввод объекта в эксплуатацию (форма приведена в приложении N 3 к Административному регламенту);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 свидетельствующие о наличии технической ошибки и содержащие правильные данные;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выданное администрацией органа местного самоуправления разрешение на ввод объекта в эксплуатацию или отказ в выдаче разрешения на ввод объекта в эксплуатацию, в котором содержится техническая ошибка.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 об исправлении технической ошибки подается заявителем (его уполномоченным представителем) одним из способов, предусмотренным пунктом 2.2 Административного регламента.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Должностное лицо администрации органа местного самоуправления, ответственное за делопроизводство: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1) проверяет наличие и комплектность документов, включенных в опись вложения;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2) при поступлении документов посредством почтового отправления прилагает конверт, в котором поступили документы, и опись вложения к поступившим документам;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3) при отсутствии документа, включенного в опись вложения, составляет а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кт в тр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ех экземплярах, первый экземпляр которого прилагает к поступившим документам, второй - передает представителю организации почтовой связи, третий - прилагает к расписке в получении документов, направляемой заявителю (если такой акт не составлен организацией почтовой связи).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 предусмотренные пунктом 2.6 Административного регламента, регистрируются в день их поступления.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В рамках рассмотрения документов, предусмотренных пунктом 2.6 Административного регламента, осуществляется проверка на предмет наличия (отсутствия) оснований для принятия решения об исправлении технической ошибки.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Должностное лицо администрации органа местного самоуправления устанавливает: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 наличие документов, предусмотренных пунктом 2.6 Административного регламента;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- наличие технической ошибки.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результатам проверки документов, предусмотренных пунктом 2.6 Административного регламента, должностное лицо администрации органа местного самоуправления, подготавливает проект соответствующего решения.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об исправлении технической ошибки или отказ в исправлении технической ошибки в выданных в результате предоставления муниципальной услуги документах принимается лицом, уполномоченным на принятие решений о выдаче разрешения на ввод объекта в эксплуатацию или об отказе в выдаче разрешения на ввод объекта в эксплуатацию.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Основанием для отказа в исправлении технической ошибки является: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- отсутствие документов, предусмотренных пунктом 2.6 Административного регламента.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документах, является выдача разрешения на ввод объекта в эксплуатацию или решения об отказе в выдаче разрешения на ввод объекта в эксплуатацию с исправленными техническими ошибками или отказ в исправлении технической ошибки.</w:t>
      </w:r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выдачи разрешения на ввод объекта в эксплуатацию или отказ в выдаче разрешения на ввод объекта в эксплуатацию с исправленными техническими ошибками не может превышать 5 рабочих дней со дня регистрации заявления об исправлении технической ошибки.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подаче документов, предусмотренных пунктом 2.6 Административного регламента, в ходе личного приема, посредством почтового отправления заявитель получает разрешение на ввод объекта в эксплуатацию или отказ в выдаче разрешения на ввод объекта в эксплуатацию с исправленными техническими ошибками на бумажном носителе, подписанного должностным лицом, уполномоченным на принятие решений о выдаче разрешения на ввод объекта в эксплуатацию или об отказе в выдаче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разрешения на ввод объекта в эксплуатацию.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подаче заявления об исправлении технической ошибки и документов, предусмотренных пунктом 2.6 Административного регламента, посредством ЕПГУ заявитель получает разрешение на ввод объекта в эксплуатацию или отказ в выдаче разрешения на ввод объекта в эксплуатацию с исправленными техническими ошибками в форме электронного документа, подписанного должностным лицом, уполномоченным на принятие решений о выдаче разрешения на ввод объекта в эксплуатацию или об отказе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выдаче разрешения на ввод объекта в эксплуатацию, с использованием усиленной квалифицированной электронной подписи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.».</w:t>
      </w:r>
      <w:proofErr w:type="gramEnd"/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выполнением настоящего постановления оставляю за собой.</w:t>
      </w:r>
    </w:p>
    <w:p w:rsidR="00BF740F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3. Настоящее постановление вступает в силу после его официального опубликов</w:t>
      </w:r>
      <w:r w:rsidR="00A37E09">
        <w:rPr>
          <w:rFonts w:ascii="Times New Roman" w:eastAsia="Times New Roman" w:hAnsi="Times New Roman" w:cs="Times New Roman"/>
          <w:color w:val="000000"/>
          <w:sz w:val="20"/>
          <w:szCs w:val="20"/>
        </w:rPr>
        <w:t>ания</w:t>
      </w:r>
    </w:p>
    <w:p w:rsidR="00B91C38" w:rsidRPr="00B91C38" w:rsidRDefault="00B91C38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r w:rsidR="00C13F30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                      </w:t>
      </w:r>
      <w:r w:rsidR="004822F2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Ф.А.Алиулло</w:t>
      </w:r>
      <w:r w:rsidR="00333ADA"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BF740F" w:rsidRPr="00B91C38" w:rsidRDefault="00BF740F" w:rsidP="00BF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1C3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D23D49" w:rsidRPr="00B91C38" w:rsidRDefault="00D23D49">
      <w:pPr>
        <w:rPr>
          <w:rFonts w:ascii="Times New Roman" w:hAnsi="Times New Roman" w:cs="Times New Roman"/>
          <w:sz w:val="20"/>
          <w:szCs w:val="20"/>
        </w:rPr>
      </w:pPr>
    </w:p>
    <w:sectPr w:rsidR="00D23D49" w:rsidRPr="00B91C38" w:rsidSect="00F0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085D"/>
    <w:multiLevelType w:val="hybridMultilevel"/>
    <w:tmpl w:val="8004B3FE"/>
    <w:lvl w:ilvl="0" w:tplc="A12EF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0F"/>
    <w:rsid w:val="00041664"/>
    <w:rsid w:val="0006327C"/>
    <w:rsid w:val="000A1646"/>
    <w:rsid w:val="0010439E"/>
    <w:rsid w:val="002D2369"/>
    <w:rsid w:val="00333ADA"/>
    <w:rsid w:val="00467DFB"/>
    <w:rsid w:val="004822F2"/>
    <w:rsid w:val="00527372"/>
    <w:rsid w:val="00A37E09"/>
    <w:rsid w:val="00B91C38"/>
    <w:rsid w:val="00BF740F"/>
    <w:rsid w:val="00C13F30"/>
    <w:rsid w:val="00C31A72"/>
    <w:rsid w:val="00D23D49"/>
    <w:rsid w:val="00F04A32"/>
    <w:rsid w:val="00FB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0F"/>
    <w:rPr>
      <w:b/>
      <w:bCs/>
    </w:rPr>
  </w:style>
  <w:style w:type="character" w:styleId="a5">
    <w:name w:val="Hyperlink"/>
    <w:basedOn w:val="a0"/>
    <w:uiPriority w:val="99"/>
    <w:semiHidden/>
    <w:unhideWhenUsed/>
    <w:rsid w:val="00BF740F"/>
    <w:rPr>
      <w:color w:val="0000FF"/>
      <w:u w:val="single"/>
    </w:rPr>
  </w:style>
  <w:style w:type="character" w:customStyle="1" w:styleId="a6">
    <w:name w:val="Цветовое выделение"/>
    <w:rsid w:val="00C13F30"/>
    <w:rPr>
      <w:b/>
      <w:color w:val="000080"/>
      <w:sz w:val="20"/>
    </w:rPr>
  </w:style>
  <w:style w:type="paragraph" w:customStyle="1" w:styleId="a7">
    <w:name w:val="Таблицы (моноширинный)"/>
    <w:basedOn w:val="a"/>
    <w:next w:val="a"/>
    <w:rsid w:val="00C13F3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82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47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54640450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542/935a657a2b5f7c7a6436cb756694bb2d649c7a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0391/79fcb55f19ff171fcd99a904f2abd618e1321cb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gov_id=307&amp;prev=2380165&amp;id=0" TargetMode="External"/><Relationship Id="rId11" Type="http://schemas.openxmlformats.org/officeDocument/2006/relationships/hyperlink" Target="http://gov.cap.ru/Laws.aspx?id=395746&amp;gov_id=30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83542/570afc6feff03328459242886307d6aebe1ccb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3542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9</cp:revision>
  <dcterms:created xsi:type="dcterms:W3CDTF">2022-03-04T08:40:00Z</dcterms:created>
  <dcterms:modified xsi:type="dcterms:W3CDTF">2022-09-22T07:18:00Z</dcterms:modified>
</cp:coreProperties>
</file>