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25AA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05.08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625AA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05.08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   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105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625AAB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 w:rsidRPr="00625AA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поощрения  муниципальной  управленческой  команды </w:t>
      </w:r>
      <w:r>
        <w:rPr>
          <w:rFonts w:ascii="Times New Roman" w:hAnsi="Times New Roman" w:cs="Times New Roman"/>
          <w:bCs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Чувашской Республики, деятельность которых способствовала достижению Чувашской Республикой значений </w:t>
      </w:r>
      <w:r w:rsidRPr="00625AAB">
        <w:rPr>
          <w:rFonts w:ascii="Times New Roman" w:hAnsi="Times New Roman" w:cs="Times New Roman"/>
          <w:sz w:val="24"/>
          <w:szCs w:val="24"/>
        </w:rPr>
        <w:t xml:space="preserve">(уровней) показателей для оценки </w:t>
      </w:r>
      <w:proofErr w:type="gramStart"/>
      <w:r w:rsidRPr="00625AAB">
        <w:rPr>
          <w:rFonts w:ascii="Times New Roman" w:hAnsi="Times New Roman" w:cs="Times New Roman"/>
          <w:sz w:val="24"/>
          <w:szCs w:val="24"/>
        </w:rPr>
        <w:t>эффективности  деятельности высших  должностных лиц субъектов Российской Федерации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 и деятельности органов исполнительной власти  субъектов Российской Федерации, </w:t>
      </w:r>
      <w:r w:rsidRPr="00625AAB">
        <w:rPr>
          <w:rFonts w:ascii="Times New Roman" w:hAnsi="Times New Roman" w:cs="Times New Roman"/>
          <w:bCs/>
          <w:sz w:val="24"/>
          <w:szCs w:val="24"/>
        </w:rPr>
        <w:t xml:space="preserve">в 2022 году  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625AAB" w:rsidRPr="00625AAB" w:rsidRDefault="00625AAB" w:rsidP="00625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AAB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Красночетайского района Чувашской Республики   от 04 августа 2022 № 01 «Об утверждении Порядка </w:t>
      </w:r>
      <w:r w:rsidRPr="00625AAB">
        <w:rPr>
          <w:rFonts w:ascii="Times New Roman" w:hAnsi="Times New Roman" w:cs="Times New Roman"/>
          <w:bCs/>
          <w:sz w:val="24"/>
          <w:szCs w:val="24"/>
        </w:rPr>
        <w:t xml:space="preserve">предоставления иных межбюджетных трансфертов бюджетам   сельских поселений  Красночетайского  района Чувашской Республики </w:t>
      </w: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bCs/>
          <w:sz w:val="24"/>
          <w:szCs w:val="24"/>
        </w:rPr>
        <w:t xml:space="preserve"> за содействие </w:t>
      </w:r>
      <w:r w:rsidRPr="00625AAB">
        <w:rPr>
          <w:rFonts w:ascii="Times New Roman" w:hAnsi="Times New Roman" w:cs="Times New Roman"/>
          <w:sz w:val="24"/>
          <w:szCs w:val="24"/>
        </w:rPr>
        <w:t xml:space="preserve">достижению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 субъектов Российской Федерации на цели поощрения муниципальных служащих </w:t>
      </w:r>
      <w:r w:rsidRPr="00625AAB">
        <w:rPr>
          <w:rFonts w:ascii="Times New Roman" w:hAnsi="Times New Roman" w:cs="Times New Roman"/>
          <w:bCs/>
          <w:sz w:val="24"/>
          <w:szCs w:val="24"/>
        </w:rPr>
        <w:t xml:space="preserve">в 2022 году» </w:t>
      </w:r>
      <w:r w:rsidRPr="00625AAB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постановляет:</w:t>
      </w:r>
    </w:p>
    <w:p w:rsidR="00625AAB" w:rsidRPr="00625AAB" w:rsidRDefault="00625AAB" w:rsidP="00625A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AAB" w:rsidRPr="00625AAB" w:rsidRDefault="00625AAB" w:rsidP="00625AAB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Pr="00625AAB">
        <w:rPr>
          <w:rFonts w:ascii="Times New Roman" w:hAnsi="Times New Roman" w:cs="Times New Roman"/>
          <w:sz w:val="24"/>
          <w:szCs w:val="24"/>
        </w:rPr>
        <w:t xml:space="preserve">Утвердить Порядок поощрения муниципальной  управленческой  команды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</w:t>
      </w:r>
      <w:proofErr w:type="gramStart"/>
      <w:r w:rsidRPr="00625AA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деятельность которых способствовала  достижению значений (уровней) показателей для оценки эффективности деятельности высших должностных лиц  субъектов Российской Федерации и деятельности органов исполнительной власти  субъектов Российской Федерации в 2022 году согласно приложению.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25AAB" w:rsidRPr="00625AAB" w:rsidRDefault="00625AAB" w:rsidP="00625AA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5AAB" w:rsidRPr="00625AAB" w:rsidRDefault="00625AAB" w:rsidP="00625AAB">
      <w:pPr>
        <w:jc w:val="right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625AAB" w:rsidRPr="00625AAB" w:rsidRDefault="00625AAB" w:rsidP="00625A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AAB" w:rsidRPr="00625AAB" w:rsidRDefault="00625AAB" w:rsidP="00625A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05.08.</w:t>
      </w:r>
      <w:r w:rsidRPr="00625AAB">
        <w:rPr>
          <w:rFonts w:ascii="Times New Roman" w:hAnsi="Times New Roman" w:cs="Times New Roman"/>
          <w:sz w:val="24"/>
          <w:szCs w:val="24"/>
        </w:rPr>
        <w:t xml:space="preserve">2022 г 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Порядок</w:t>
      </w: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поощрения муниципальной  управленческой  команды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</w:t>
      </w:r>
      <w:proofErr w:type="gramStart"/>
      <w:r w:rsidRPr="00625AA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деятельность которых способствовала  достижению значений (уровней) показателей для оценки эффективности деятельности высших должностных лиц  субъектов Российской Федерации и деятельности органов исполнительной власти  субъектов Российской Федерации в 2022 году</w:t>
      </w: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25AAB" w:rsidRPr="00625AAB" w:rsidRDefault="00625AAB" w:rsidP="00625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AB" w:rsidRPr="00625AAB" w:rsidRDefault="00625AAB" w:rsidP="00625A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1. Настоящие правила определяют условия, цель и порядок предоставления иного межбюджетного трансферта на поощрение муниципальных управленческих команд 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Республики, деятельность которых способствовала достижению  значений (уровней) показателей для оценки </w:t>
      </w:r>
      <w:proofErr w:type="gramStart"/>
      <w:r w:rsidRPr="00625AAB">
        <w:rPr>
          <w:rFonts w:ascii="Times New Roman" w:hAnsi="Times New Roman" w:cs="Times New Roman"/>
          <w:sz w:val="24"/>
          <w:szCs w:val="24"/>
        </w:rPr>
        <w:t>эффективности деятельности  высших должностных лиц субъектов Российской Федерации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и деятельности органов исполнительной власти  субъектов Российской Федерации.</w:t>
      </w:r>
    </w:p>
    <w:p w:rsidR="00625AAB" w:rsidRPr="00625AAB" w:rsidRDefault="00625AAB" w:rsidP="00625A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2. Целью предоставления иного межбюджетного трансферта является  поощрение муниципальных управленческих команд 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Республики, деятельность которого способствовала достижению значений (уровней) показателей для оценки </w:t>
      </w:r>
      <w:proofErr w:type="gramStart"/>
      <w:r w:rsidRPr="00625AAB">
        <w:rPr>
          <w:rFonts w:ascii="Times New Roman" w:hAnsi="Times New Roman" w:cs="Times New Roman"/>
          <w:sz w:val="24"/>
          <w:szCs w:val="24"/>
        </w:rPr>
        <w:t>эффективности деятельности  высших должностных лиц  субъектов Российской Федерации</w:t>
      </w:r>
      <w:proofErr w:type="gramEnd"/>
      <w:r w:rsidRPr="00625AAB">
        <w:rPr>
          <w:rFonts w:ascii="Times New Roman" w:hAnsi="Times New Roman" w:cs="Times New Roman"/>
          <w:sz w:val="24"/>
          <w:szCs w:val="24"/>
        </w:rPr>
        <w:t xml:space="preserve"> и деятельности органов исполнительной власти  субъектов Российской Федерации (далее – муниципальная управленческая команда поселения). </w:t>
      </w:r>
    </w:p>
    <w:p w:rsidR="00625AAB" w:rsidRPr="00625AAB" w:rsidRDefault="00625AAB" w:rsidP="00625AAB">
      <w:pPr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В состав участников муниципальных управленческих команд в соответствии с распоряжением Главы Чувашской Республики от 09 июля 2022г. № 399-рг   входят:</w:t>
      </w:r>
    </w:p>
    <w:p w:rsidR="00625AAB" w:rsidRPr="00625AAB" w:rsidRDefault="00625AAB" w:rsidP="00625AAB">
      <w:pPr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должности;</w:t>
      </w:r>
    </w:p>
    <w:p w:rsidR="00625AAB" w:rsidRPr="00625AAB" w:rsidRDefault="00625AAB" w:rsidP="00625AAB">
      <w:pPr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лица, замещающие должности муниципальной службы;</w:t>
      </w:r>
    </w:p>
    <w:p w:rsidR="00625AAB" w:rsidRPr="00625AAB" w:rsidRDefault="00625AAB" w:rsidP="00625AAB">
      <w:pPr>
        <w:rPr>
          <w:rFonts w:ascii="Times New Roman" w:hAnsi="Times New Roman" w:cs="Times New Roman"/>
          <w:bCs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Pr="00625AAB">
        <w:rPr>
          <w:rFonts w:ascii="Times New Roman" w:hAnsi="Times New Roman" w:cs="Times New Roman"/>
          <w:bCs/>
          <w:sz w:val="24"/>
          <w:szCs w:val="24"/>
        </w:rPr>
        <w:t>, не являющиеся должностями муниципальной службы.</w:t>
      </w:r>
    </w:p>
    <w:p w:rsidR="00625AAB" w:rsidRPr="00625AAB" w:rsidRDefault="00625AAB" w:rsidP="00625AAB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Выплата поощрения производится лицам, указанным в настоящем пункте, состоящим в служебных (трудовых) отношениях с </w:t>
      </w:r>
      <w:r>
        <w:rPr>
          <w:rFonts w:ascii="Times New Roman" w:hAnsi="Times New Roman" w:cs="Times New Roman"/>
          <w:sz w:val="24"/>
          <w:szCs w:val="24"/>
        </w:rPr>
        <w:t>Атнарским</w:t>
      </w:r>
      <w:r w:rsidRPr="00625AAB">
        <w:rPr>
          <w:rFonts w:ascii="Times New Roman" w:hAnsi="Times New Roman" w:cs="Times New Roman"/>
          <w:sz w:val="24"/>
          <w:szCs w:val="24"/>
        </w:rPr>
        <w:t xml:space="preserve"> сельским поселением  Красночетайского района Чувашской Республики и фактически осуществляющую деятельность на дату подписания распоряжения о поощрении.</w:t>
      </w:r>
    </w:p>
    <w:p w:rsidR="00625AAB" w:rsidRPr="00625AAB" w:rsidRDefault="00625AAB" w:rsidP="00625AAB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 в отчетном периоде время.</w:t>
      </w:r>
    </w:p>
    <w:p w:rsidR="00625AAB" w:rsidRPr="00625AAB" w:rsidRDefault="00625AAB" w:rsidP="00625AA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В фактические </w:t>
      </w:r>
      <w:proofErr w:type="gramStart"/>
      <w:r w:rsidRPr="00625AAB">
        <w:rPr>
          <w:rFonts w:ascii="Times New Roman" w:hAnsi="Times New Roman" w:cs="Times New Roman"/>
          <w:b w:val="0"/>
          <w:sz w:val="24"/>
          <w:szCs w:val="24"/>
        </w:rPr>
        <w:t>отработанные полные месяцы</w:t>
      </w:r>
      <w:proofErr w:type="gramEnd"/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включаются периоды работы 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Атнарского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Красночетайского района Чувашской Республики   начиная с первого по последний рабочий день каждого календарного месяца (в том числе с учетом ежегодного оплачиваемого отпуска, периодов временной нетрудоспособности).</w:t>
      </w:r>
    </w:p>
    <w:p w:rsidR="00625AAB" w:rsidRPr="00625AAB" w:rsidRDefault="00625AAB" w:rsidP="00625AA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sz w:val="24"/>
          <w:szCs w:val="24"/>
        </w:rPr>
        <w:t>Объем средств на поощрение включает в себя оплату труда и начисления на выплаты по оплате труда работников органа местного самоуправления Красночетайского района Чувашской Республики.</w:t>
      </w:r>
    </w:p>
    <w:p w:rsidR="00625AAB" w:rsidRPr="00625AAB" w:rsidRDefault="00625AAB" w:rsidP="00625AA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sz w:val="24"/>
          <w:szCs w:val="24"/>
        </w:rPr>
        <w:t>Поощрение устанавливается в следующих размерах:</w:t>
      </w:r>
    </w:p>
    <w:p w:rsidR="00625AAB" w:rsidRPr="00625AAB" w:rsidRDefault="00625AAB" w:rsidP="00625A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sz w:val="24"/>
          <w:szCs w:val="24"/>
        </w:rPr>
        <w:t>а) по первой части 3,0 должностных оклада – для  лиц, замещающих должности руководителей по высшей группе должностей муниципальной службы, для  лиц, замещающих должности специалистов по ведущей, старшей и младшей группе должностей муниципальной службы;</w:t>
      </w:r>
    </w:p>
    <w:p w:rsidR="00625AAB" w:rsidRPr="00625AAB" w:rsidRDefault="00625AAB" w:rsidP="00625A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sz w:val="24"/>
          <w:szCs w:val="24"/>
        </w:rPr>
        <w:t>б) по второй част</w:t>
      </w:r>
      <w:proofErr w:type="gramStart"/>
      <w:r w:rsidRPr="00625AAB">
        <w:rPr>
          <w:rFonts w:ascii="Times New Roman" w:hAnsi="Times New Roman" w:cs="Times New Roman"/>
          <w:b w:val="0"/>
          <w:sz w:val="24"/>
          <w:szCs w:val="24"/>
        </w:rPr>
        <w:t>и-</w:t>
      </w:r>
      <w:proofErr w:type="gramEnd"/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согласно пункту 3.3  решения Собрания депутатов 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Красночетайского района  Чувашской Республики от 04.08.2022 № 01 «Об утверждении Порядка </w:t>
      </w:r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 xml:space="preserve">предоставления иных межбюджетных трансфертов бюджетам   сельских поселений  Красночетайского  района Чувашской Республики 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 xml:space="preserve"> за содействие 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достижению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 субъектов Российской Федерации на цели поощрения муниципальных служащих </w:t>
      </w:r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 xml:space="preserve">в 2022 году» в должностных окладах 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>для  лиц, замещающих должности руководителей по высшей группе должностей муниципальной службы, для  лиц, замещающих должности специалистов по ведущей, старшей и младшей группе должностей муниципальной службы;</w:t>
      </w:r>
    </w:p>
    <w:p w:rsidR="00625AAB" w:rsidRPr="00625AAB" w:rsidRDefault="00625AAB" w:rsidP="00625A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>в) по третей част</w:t>
      </w:r>
      <w:proofErr w:type="gramStart"/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>и-</w:t>
      </w:r>
      <w:proofErr w:type="gramEnd"/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рекомендательного письма администрации Красночетайского района Чувашской Республики должностным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лицам, замещающим должности руководителей по высшей группе должностей муниципальной</w:t>
      </w:r>
      <w:r w:rsidRPr="00625AAB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625AAB" w:rsidRPr="00625AAB" w:rsidRDefault="00625AAB" w:rsidP="00625AA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При расчете средств на поощрение муниципальной управленческой команды  Красночетайского района Чувашской Республики не учитываются расходы на оплату труда и начисления на выплаты для лиц, замещающих должности муниципальной службы, указанные в разделе </w:t>
      </w:r>
      <w:r w:rsidRPr="00625AA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625AAB">
        <w:rPr>
          <w:rFonts w:ascii="Times New Roman" w:hAnsi="Times New Roman" w:cs="Times New Roman"/>
          <w:b w:val="0"/>
          <w:sz w:val="24"/>
          <w:szCs w:val="24"/>
        </w:rPr>
        <w:t xml:space="preserve"> Реестра должностей, а также  работников органов местного самоуправления, осуществляющих выполнение переданных полномочий Российской Федерации и Чувашской Республики.</w:t>
      </w:r>
      <w:proofErr w:type="gramEnd"/>
    </w:p>
    <w:p w:rsidR="00625AAB" w:rsidRPr="00625AAB" w:rsidRDefault="00625AAB" w:rsidP="00625AA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D76652">
      <w:pPr>
        <w:ind w:left="-851" w:firstLine="851"/>
        <w:rPr>
          <w:rFonts w:ascii="Times New Roman" w:hAnsi="Times New Roman" w:cs="Times New Roman"/>
          <w:kern w:val="28"/>
          <w:sz w:val="24"/>
          <w:szCs w:val="24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03" w:rsidRDefault="00344F03" w:rsidP="00FA00C4">
      <w:r>
        <w:separator/>
      </w:r>
    </w:p>
  </w:endnote>
  <w:endnote w:type="continuationSeparator" w:id="0">
    <w:p w:rsidR="00344F03" w:rsidRDefault="00344F0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03" w:rsidRDefault="00344F03" w:rsidP="00FA00C4">
      <w:r>
        <w:separator/>
      </w:r>
    </w:p>
  </w:footnote>
  <w:footnote w:type="continuationSeparator" w:id="0">
    <w:p w:rsidR="00344F03" w:rsidRDefault="00344F0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44F03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450F4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13E39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DF79CB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2</cp:revision>
  <cp:lastPrinted>2022-07-28T08:31:00Z</cp:lastPrinted>
  <dcterms:created xsi:type="dcterms:W3CDTF">2022-08-05T08:57:00Z</dcterms:created>
  <dcterms:modified xsi:type="dcterms:W3CDTF">2022-08-05T08:57:00Z</dcterms:modified>
</cp:coreProperties>
</file>