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F7" w:rsidRPr="00AA02F7" w:rsidRDefault="004D3676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30FBFF" wp14:editId="76404A1D">
            <wp:simplePos x="0" y="0"/>
            <wp:positionH relativeFrom="column">
              <wp:posOffset>2446575</wp:posOffset>
            </wp:positionH>
            <wp:positionV relativeFrom="paragraph">
              <wp:posOffset>-165735</wp:posOffset>
            </wp:positionV>
            <wp:extent cx="716280" cy="734695"/>
            <wp:effectExtent l="0" t="0" r="7620" b="8255"/>
            <wp:wrapNone/>
            <wp:docPr id="1" name="Рисунок 1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F7"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page" w:horzAnchor="margin" w:tblpY="1281"/>
        <w:tblOverlap w:val="never"/>
        <w:tblW w:w="9606" w:type="dxa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4D3676" w:rsidRPr="004D3676" w:rsidTr="008C199A">
        <w:trPr>
          <w:cantSplit/>
          <w:trHeight w:val="1900"/>
        </w:trPr>
        <w:tc>
          <w:tcPr>
            <w:tcW w:w="3652" w:type="dxa"/>
          </w:tcPr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АСХВА ЯЛ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676" w:rsidRPr="004D3676" w:rsidRDefault="004D3676" w:rsidP="004D3676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t>ЙЫШĂНУ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авăн 2022 ç. 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1701" w:type="dxa"/>
          </w:tcPr>
          <w:p w:rsidR="004D3676" w:rsidRPr="004D3676" w:rsidRDefault="004D3676" w:rsidP="004D3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АСХВИНСКОГО СЕЛЬСКОГО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4D3676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сентября 2022 г. № 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4D3676" w:rsidRPr="004D3676" w:rsidRDefault="004D3676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D3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</w:tc>
      </w:tr>
    </w:tbl>
    <w:p w:rsidR="00AA02F7" w:rsidRPr="00AA02F7" w:rsidRDefault="00AA02F7" w:rsidP="00AA02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ПОРЯДКА ОПРЕДЕЛЕНИЯ ПЛАТЫ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ЗА ИСПОЛЬЗОВАНИЕ ЗЕМЕЛЬНЫХ УЧАСТКОВ, НАХОДЯЩИХСЯ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4D3676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 СОБСТВЕННОСТИ </w:t>
      </w:r>
      <w:r w:rsid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АСХВИНСКОГО СЕЛЬСКОГО ПОСЕЛЕНИЯ КАНАШСКОГО РАЙОНА </w:t>
      </w: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ЧУВАШСКОЙ РЕСПУБЛИКИ,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 ИЛИ ЗЕМЕЛЬНЫХ УЧАСТКОВ, </w:t>
      </w:r>
      <w:r w:rsidR="004D3676">
        <w:rPr>
          <w:rFonts w:ascii="Times New Roman" w:eastAsia="Times New Roman" w:hAnsi="Times New Roman" w:cs="Times New Roman"/>
          <w:b/>
          <w:bCs/>
          <w:lang w:eastAsia="ru-RU"/>
        </w:rPr>
        <w:t>МУНИЦИПАЛЬНАЯ</w:t>
      </w: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 СОБСТВЕННОСТЬ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НА КОТОРЫЕ НЕ </w:t>
      </w:r>
      <w:proofErr w:type="gramStart"/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>РАЗГРАНИЧЕНА</w:t>
      </w:r>
      <w:proofErr w:type="gramEnd"/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, ДЛЯ ВОЗВЕДЕНИЯ ГРАЖДАНАМИ </w:t>
      </w:r>
    </w:p>
    <w:p w:rsidR="00AA02F7" w:rsidRPr="004D3676" w:rsidRDefault="00AA02F7" w:rsidP="004D36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676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ГАРАЖЕЙ, ЯВЛЯЮЩИХСЯ НЕКАПИТАЛЬНЫМИ СООРУЖЕНИЯМИ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4D3676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подпунктом 2 пункта 2 статьи 39.36-1 Земельного кодекса Российской Федерации, пунктом 4.4 статьи 14 Закона Чувашской Республики "О Кабинете Министров Чувашской Республики"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676" w:rsidRPr="004D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Асхвинского сельского поселения Канашского района Чувашской Республики </w:t>
      </w:r>
      <w:r w:rsidRPr="004D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определения платы за использование земельных участков, находящихся в 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Асхвинского сельского поселения Канашского района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земель или земельных участков, 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разграничена, для возведения гражданами гаражей, являющихся некапитальными сооружениями.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дней после дня его официального опубликования. </w:t>
      </w:r>
    </w:p>
    <w:p w:rsid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5CF1" w:rsidRDefault="00895CF1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Асхвинского</w:t>
      </w:r>
    </w:p>
    <w:p w:rsidR="00895CF1" w:rsidRPr="00AA02F7" w:rsidRDefault="00895CF1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Павлов В.В.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F7" w:rsidRPr="00AA02F7" w:rsidRDefault="00AA02F7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4D3676" w:rsidRDefault="00895CF1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02F7"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D3676" w:rsidRDefault="004D3676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Асхвинского сельского поселения </w:t>
      </w:r>
    </w:p>
    <w:p w:rsidR="00AA02F7" w:rsidRPr="00AA02F7" w:rsidRDefault="004D3676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</w:p>
    <w:p w:rsidR="00AA02F7" w:rsidRPr="00AA02F7" w:rsidRDefault="00AA02F7" w:rsidP="00AA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N</w:t>
      </w:r>
      <w:r w:rsidR="004D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5CF1" w:rsidRDefault="00895CF1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5CF1" w:rsidRDefault="00895CF1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ОПРЕДЕЛЕНИЯ ПЛАТЫ ЗА ИСПОЛЬЗОВАНИЕ ЗЕМЕЛЬНЫХ УЧАСТКОВ, </w:t>
      </w: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НАХОДЯЩИХСЯ</w:t>
      </w:r>
      <w:proofErr w:type="gramEnd"/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</w:t>
      </w:r>
      <w:r w:rsidR="00895C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СОБСТВЕННОСТИ </w:t>
      </w: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ЧУВАШСКОЙ РЕСПУБЛИКИ, ЗЕМЕЛЬ ИЛИ ЗЕМЕЛЬНЫХ УЧАСТКОВ, </w:t>
      </w:r>
    </w:p>
    <w:p w:rsidR="00AA02F7" w:rsidRPr="00AA02F7" w:rsidRDefault="00895CF1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</w:t>
      </w:r>
      <w:r w:rsidR="00AA02F7"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AA02F7"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СОБСТВЕННОСТЬ</w:t>
      </w:r>
      <w:proofErr w:type="gramEnd"/>
      <w:r w:rsidR="00AA02F7"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КОТОРЫЕ НЕ РАЗГРАНИЧЕНА, </w:t>
      </w: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ВОЗВЕДЕНИЯ ГРАЖДАНАМИ ГАРАЖЕЙ, ЯВЛЯЮЩИХСЯ </w:t>
      </w:r>
    </w:p>
    <w:p w:rsidR="00AA02F7" w:rsidRPr="00AA02F7" w:rsidRDefault="00AA02F7" w:rsidP="00AA02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02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НЕКАПИТАЛЬНЫМИ СООРУЖЕНИЯМИ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порядок определения платы за использование земельных участков, находящихся в 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Асхвинского сельского поселения Канашского района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земель или земельных участков, 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разграничена, для возведения гражданами гаражей, являющихся некапитальными сооружениями, на территории </w:t>
      </w:r>
      <w:r w:rsidR="00895CF1" w:rsidRP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Асхвинского сельского поселения Канашского района 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Республики.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использование земельных участков, находящихся в 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D49B4" w:rsidRP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Асхвинского сельского поселения Канашского района 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и земельных участков, </w:t>
      </w:r>
      <w:r w:rsid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гаражом, в расчете на год. </w:t>
      </w:r>
      <w:proofErr w:type="gramEnd"/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кадастровая стоимость не установлена в целях применения пункта 2 настоящего Порядка, размер платы за использование земельных участков, находящихся в 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D49B4" w:rsidRP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Асхвинского сельского поселения Канашского района 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земель или земельных участков, </w:t>
      </w:r>
      <w:r w:rsid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разграничена, для возведения гражданами гаражей, являющихся некапитальными сооружениями, определяется в расчете на год по формуле </w:t>
      </w:r>
      <w:proofErr w:type="gramEnd"/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= СЗН x УКС x S,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- годовой размер платы за использование земель или земельного участка для возведения гаража, рублей;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СЗН - ставка земельного налога, установленная нормативным правовым актом представительного органа соответствующего муниципального образования Чувашской Республики в отношении земельных участков, предназначенных для размещения гаражей, процентов;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 - средний уровень кадастровой стоимости земель или земельного участка для сегмента "Транспорт" по муниципальному о</w:t>
      </w:r>
      <w:r w:rsid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границах которых расположены земли или земельный участок для размещения гаража, утвержденный приказом Министерства экономического развития и имущественных отношений Чувашской Республики в соответствии с пунктом 2 статьи 66 Земельного кодекса Российской Федерации, рублей/кв. метр;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S - площадь земель или земельного участка (части земельного участка), используемых для возведения гаража, являющегося некапитальным сооружением, кв. метров. </w:t>
      </w:r>
    </w:p>
    <w:p w:rsidR="00AA02F7" w:rsidRPr="00AA02F7" w:rsidRDefault="00AA02F7" w:rsidP="00AA0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Плата за использование земель или земельного участка для возведения гражданами гаража, являющегося некапитальным сооружением, изменяется в связи с изменением среднего уровня кадастровой стоимости земель или земельного участка по муниципальному о</w:t>
      </w:r>
      <w:r w:rsidR="005D49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проведения </w:t>
      </w:r>
      <w:r w:rsidR="0089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оценки земельных участков или кадастровой стоимости земельного участка.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02F7" w:rsidRPr="00AA02F7" w:rsidRDefault="00AA02F7" w:rsidP="00AA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CC2FD3" w:rsidRDefault="00CC2FD3"/>
    <w:sectPr w:rsidR="00CC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F7"/>
    <w:rsid w:val="004D3676"/>
    <w:rsid w:val="005D49B4"/>
    <w:rsid w:val="00895CF1"/>
    <w:rsid w:val="00AA02F7"/>
    <w:rsid w:val="00C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USER</cp:lastModifiedBy>
  <cp:revision>3</cp:revision>
  <cp:lastPrinted>2022-09-15T06:05:00Z</cp:lastPrinted>
  <dcterms:created xsi:type="dcterms:W3CDTF">2022-09-12T11:43:00Z</dcterms:created>
  <dcterms:modified xsi:type="dcterms:W3CDTF">2022-09-15T06:05:00Z</dcterms:modified>
</cp:coreProperties>
</file>