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C05259" w:rsidRPr="009117D7" w:rsidRDefault="00143A41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№24/1</w:t>
            </w:r>
          </w:p>
          <w:p w:rsidR="00143A41" w:rsidRPr="004E643E" w:rsidRDefault="00143A41" w:rsidP="00143A41">
            <w:pPr>
              <w:jc w:val="center"/>
            </w:pPr>
            <w:r w:rsidRPr="004E643E">
              <w:t xml:space="preserve">2022 </w:t>
            </w:r>
            <w:proofErr w:type="spellStart"/>
            <w:r w:rsidRPr="004E643E">
              <w:t>ç</w:t>
            </w:r>
            <w:proofErr w:type="spellEnd"/>
            <w:r w:rsidRPr="004E643E">
              <w:t xml:space="preserve">. </w:t>
            </w:r>
            <w:proofErr w:type="spellStart"/>
            <w:r w:rsidRPr="004E643E">
              <w:t>ç</w:t>
            </w:r>
            <w:proofErr w:type="gramStart"/>
            <w:r w:rsidRPr="004E643E">
              <w:t>урла</w:t>
            </w:r>
            <w:proofErr w:type="spellEnd"/>
            <w:proofErr w:type="gramEnd"/>
            <w:r w:rsidRPr="004E643E">
              <w:t xml:space="preserve"> </w:t>
            </w:r>
            <w:r>
              <w:t>26</w:t>
            </w:r>
            <w:r w:rsidRPr="004E643E">
              <w:t>-мěшě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05259" w:rsidRPr="00446E26" w:rsidRDefault="00C05259" w:rsidP="003D4617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 w:rsidR="00143A41">
              <w:rPr>
                <w:rFonts w:ascii="Times New Roman" w:hAnsi="Times New Roman"/>
                <w:i w:val="0"/>
              </w:rPr>
              <w:t>24/1</w:t>
            </w:r>
          </w:p>
          <w:p w:rsidR="00143A41" w:rsidRPr="00492118" w:rsidRDefault="00143A41" w:rsidP="00143A41">
            <w:pPr>
              <w:ind w:firstLine="360"/>
              <w:jc w:val="center"/>
            </w:pPr>
            <w:r>
              <w:t xml:space="preserve">26 августа </w:t>
            </w:r>
            <w:r w:rsidRPr="00492118">
              <w:t>20</w:t>
            </w:r>
            <w:r>
              <w:t>22</w:t>
            </w:r>
            <w:r w:rsidRPr="00492118">
              <w:t xml:space="preserve"> г. 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C05259" w:rsidRPr="00B262B6" w:rsidRDefault="00C05259" w:rsidP="00C05259">
      <w:pPr>
        <w:ind w:firstLine="180"/>
        <w:jc w:val="both"/>
        <w:rPr>
          <w:b/>
        </w:rPr>
      </w:pPr>
    </w:p>
    <w:p w:rsidR="00F41618" w:rsidRPr="00F41618" w:rsidRDefault="00F41618" w:rsidP="00F41618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Таушкасинского сельского поселения Цивильского района Чувашской Республики </w:t>
      </w:r>
      <w:proofErr w:type="gramEnd"/>
    </w:p>
    <w:p w:rsidR="00F41618" w:rsidRPr="00440FB5" w:rsidRDefault="00F41618" w:rsidP="00F41618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</w:t>
      </w:r>
      <w:proofErr w:type="spellStart"/>
      <w:r w:rsidRPr="00440FB5">
        <w:rPr>
          <w:color w:val="000000" w:themeColor="text1"/>
        </w:rPr>
        <w:t>N</w:t>
      </w:r>
      <w:proofErr w:type="spellEnd"/>
      <w:r w:rsidRPr="00440FB5">
        <w:rPr>
          <w:color w:val="000000" w:themeColor="text1"/>
        </w:rPr>
        <w:t xml:space="preserve"> 131-ФЗ «Об общих принципах организации местного самоуправления в Российской Федерации», Уставом </w:t>
      </w:r>
      <w:r w:rsidR="00B36402">
        <w:rPr>
          <w:color w:val="000000" w:themeColor="text1"/>
        </w:rPr>
        <w:t xml:space="preserve">Таушкасинского сельского поселения Цивильского района Чувашской Республики </w:t>
      </w:r>
      <w:r w:rsidRPr="00440FB5">
        <w:rPr>
          <w:color w:val="000000" w:themeColor="text1"/>
        </w:rPr>
        <w:t xml:space="preserve">Собрание депутатов </w:t>
      </w:r>
      <w:r w:rsidR="00B36402">
        <w:rPr>
          <w:color w:val="000000" w:themeColor="text1"/>
        </w:rPr>
        <w:t xml:space="preserve">Таушкасинского сельского поселения Цивильского района Чувашской Республики </w:t>
      </w:r>
      <w:r w:rsidRPr="00B36402">
        <w:rPr>
          <w:b/>
          <w:color w:val="000000" w:themeColor="text1"/>
        </w:rPr>
        <w:t>решило:</w:t>
      </w:r>
    </w:p>
    <w:p w:rsidR="00F41618" w:rsidRPr="00440FB5" w:rsidRDefault="00F41618" w:rsidP="00F41618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 </w:t>
      </w:r>
      <w:proofErr w:type="gramStart"/>
      <w:r w:rsidRPr="00440FB5">
        <w:rPr>
          <w:color w:val="000000" w:themeColor="text1"/>
        </w:rPr>
        <w:t xml:space="preserve">Установить </w:t>
      </w:r>
      <w:hyperlink w:anchor="Par35" w:tooltip="ПОРЯДОК" w:history="1">
        <w:r w:rsidRPr="00440FB5">
          <w:rPr>
            <w:color w:val="000000" w:themeColor="text1"/>
          </w:rPr>
          <w:t>Порядок</w:t>
        </w:r>
      </w:hyperlink>
      <w:r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B36402">
        <w:rPr>
          <w:color w:val="000000" w:themeColor="text1"/>
        </w:rPr>
        <w:t xml:space="preserve">Таушкасинского сельского поселения Цивильского района Чувашской Республики </w:t>
      </w:r>
      <w:r w:rsidRPr="00B36402">
        <w:rPr>
          <w:color w:val="000000" w:themeColor="text1"/>
        </w:rPr>
        <w:t>(прилагается).</w:t>
      </w:r>
      <w:proofErr w:type="gramEnd"/>
    </w:p>
    <w:p w:rsidR="00F41618" w:rsidRPr="00440FB5" w:rsidRDefault="00F41618" w:rsidP="00F41618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 Настоящее решение вступает в силу со дня его официального опубликования.</w:t>
      </w:r>
    </w:p>
    <w:p w:rsidR="009A149F" w:rsidRDefault="007131FE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36402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36402" w:rsidRPr="007131FE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Default="009A149F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Pr="00C55092" w:rsidRDefault="00B36402" w:rsidP="00B36402">
      <w:pPr>
        <w:pStyle w:val="ConsPlusTitle"/>
        <w:spacing w:before="100" w:beforeAutospacing="1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C55092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p w:rsidR="00B36402" w:rsidRPr="00440FB5" w:rsidRDefault="00B36402" w:rsidP="00B36402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B36402" w:rsidRPr="00440FB5" w:rsidRDefault="00B36402" w:rsidP="00B36402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ПОРЯДОК</w:t>
      </w:r>
    </w:p>
    <w:p w:rsidR="00B36402" w:rsidRDefault="00B36402" w:rsidP="00B36402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Таушкасинского сельского поселения Цивильского района Чувашской Республики </w:t>
      </w:r>
      <w:proofErr w:type="gramEnd"/>
    </w:p>
    <w:p w:rsidR="00B36402" w:rsidRPr="00440FB5" w:rsidRDefault="00B36402" w:rsidP="00B36402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</w:t>
      </w:r>
      <w:proofErr w:type="gramStart"/>
      <w:r w:rsidRPr="00440FB5">
        <w:rPr>
          <w:color w:val="000000" w:themeColor="text1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>
        <w:rPr>
          <w:color w:val="000000" w:themeColor="text1"/>
        </w:rPr>
        <w:t xml:space="preserve">Таушкасинского сельского поселения Цивильского района Чувашской Республики </w:t>
      </w:r>
      <w:r w:rsidRPr="00440FB5">
        <w:rPr>
          <w:color w:val="000000" w:themeColor="text1"/>
        </w:rPr>
        <w:t>(далее - Порядок) разработан в соответствии с Градостроительным кодексом Российской Федерации, Федеральным законом от 06.10.2003 № 131-ФЗ «Об</w:t>
      </w:r>
      <w:proofErr w:type="gramEnd"/>
      <w:r w:rsidRPr="00440FB5">
        <w:rPr>
          <w:color w:val="000000" w:themeColor="text1"/>
        </w:rPr>
        <w:t xml:space="preserve"> </w:t>
      </w:r>
      <w:proofErr w:type="gramStart"/>
      <w:r w:rsidRPr="00440FB5">
        <w:rPr>
          <w:color w:val="000000" w:themeColor="text1"/>
        </w:rPr>
        <w:t xml:space="preserve">общих принципах организации местного самоуправления в Российской Федерации», Уставом </w:t>
      </w:r>
      <w:r>
        <w:rPr>
          <w:color w:val="000000" w:themeColor="text1"/>
        </w:rPr>
        <w:t xml:space="preserve">Таушкасинского сельского поселения Цивильского района Чувашской Республики </w:t>
      </w:r>
      <w:r w:rsidRPr="00440FB5">
        <w:rPr>
          <w:color w:val="000000" w:themeColor="text1"/>
        </w:rPr>
        <w:t>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</w:t>
      </w:r>
      <w:proofErr w:type="gramEnd"/>
      <w:r w:rsidRPr="00440FB5">
        <w:rPr>
          <w:color w:val="000000" w:themeColor="text1"/>
        </w:rPr>
        <w:t>, сооружений), права и обязанности должностных лиц при проведении осмотра зданий, сооружений.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color w:val="000000" w:themeColor="text1"/>
        </w:rPr>
        <w:t>Таушкасинского сельского поселения Цивильского района Чувашской Республики</w:t>
      </w:r>
      <w:r w:rsidRPr="00440FB5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B36402" w:rsidRPr="00440FB5" w:rsidRDefault="00B36402" w:rsidP="00B36402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>
        <w:rPr>
          <w:color w:val="000000" w:themeColor="text1"/>
        </w:rPr>
        <w:t>Таушкасинского сельского поселения Цивильского района Чувашской Республики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(далее – администрация).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</w:t>
      </w:r>
      <w:proofErr w:type="gramStart"/>
      <w:r w:rsidRPr="00440FB5">
        <w:rPr>
          <w:color w:val="000000" w:themeColor="text1"/>
        </w:rPr>
        <w:t xml:space="preserve">В целях осуществления на территории </w:t>
      </w:r>
      <w:r>
        <w:rPr>
          <w:color w:val="000000" w:themeColor="text1"/>
        </w:rPr>
        <w:t xml:space="preserve">Таушкасинского сельского поселения Цивильского района Чувашской Республики </w:t>
      </w:r>
      <w:r w:rsidRPr="00440FB5">
        <w:rPr>
          <w:color w:val="000000" w:themeColor="text1"/>
        </w:rPr>
        <w:t xml:space="preserve">осмотра зданий, сооружений администрация </w:t>
      </w:r>
      <w:r>
        <w:rPr>
          <w:color w:val="000000" w:themeColor="text1"/>
        </w:rPr>
        <w:t xml:space="preserve">Таушкасинского сельского поселения Цивильского района Чувашской Республики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  <w:proofErr w:type="gramEnd"/>
    </w:p>
    <w:p w:rsidR="00C55092" w:rsidRPr="00440FB5" w:rsidRDefault="00B36402" w:rsidP="00C55092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bookmarkStart w:id="0" w:name="Par53"/>
      <w:bookmarkEnd w:id="0"/>
      <w:r w:rsidRPr="00440FB5">
        <w:rPr>
          <w:color w:val="000000" w:themeColor="text1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bookmarkStart w:id="1" w:name="Par54"/>
      <w:bookmarkEnd w:id="1"/>
      <w:r w:rsidRPr="00440FB5"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2.2. </w:t>
      </w:r>
      <w:proofErr w:type="gramStart"/>
      <w:r w:rsidRPr="00440FB5">
        <w:rPr>
          <w:color w:val="000000" w:themeColor="text1"/>
        </w:rPr>
        <w:t xml:space="preserve"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</w:t>
      </w:r>
      <w:r w:rsidRPr="00440FB5">
        <w:rPr>
          <w:color w:val="000000" w:themeColor="text1"/>
        </w:rPr>
        <w:lastRenderedPageBreak/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</w:t>
      </w:r>
      <w:proofErr w:type="gramStart"/>
      <w:r w:rsidRPr="00440FB5">
        <w:rPr>
          <w:color w:val="000000" w:themeColor="text1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  <w:proofErr w:type="gramEnd"/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proofErr w:type="gramStart"/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  <w:proofErr w:type="gramEnd"/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2.6. </w:t>
      </w:r>
      <w:proofErr w:type="gramStart"/>
      <w:r w:rsidRPr="00440FB5">
        <w:rPr>
          <w:color w:val="000000" w:themeColor="text1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440FB5">
        <w:rPr>
          <w:color w:val="000000" w:themeColor="text1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 w:rsidRPr="00440FB5">
        <w:rPr>
          <w:color w:val="000000" w:themeColor="text1"/>
        </w:rPr>
        <w:t>позднее</w:t>
      </w:r>
      <w:proofErr w:type="gramEnd"/>
      <w:r w:rsidRPr="00440FB5">
        <w:rPr>
          <w:color w:val="000000" w:themeColor="text1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</w:t>
      </w:r>
      <w:proofErr w:type="gramStart"/>
      <w:r w:rsidRPr="00440FB5">
        <w:rPr>
          <w:color w:val="000000" w:themeColor="text1"/>
        </w:rPr>
        <w:t xml:space="preserve">При осмотре зданий, сооружений проводится визуальное обследование конструкций (при необходимости с </w:t>
      </w:r>
      <w:proofErr w:type="spellStart"/>
      <w:r w:rsidRPr="00440FB5">
        <w:rPr>
          <w:color w:val="000000" w:themeColor="text1"/>
        </w:rPr>
        <w:t>фотофиксацией</w:t>
      </w:r>
      <w:proofErr w:type="spellEnd"/>
      <w:r w:rsidRPr="00440FB5">
        <w:rPr>
          <w:color w:val="000000" w:themeColor="text1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</w:t>
      </w:r>
      <w:r w:rsidRPr="00440FB5">
        <w:rPr>
          <w:color w:val="000000" w:themeColor="text1"/>
        </w:rPr>
        <w:lastRenderedPageBreak/>
        <w:t xml:space="preserve">инженерного оборудования, 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</w:t>
      </w:r>
      <w:proofErr w:type="gramEnd"/>
      <w:r w:rsidRPr="00440FB5">
        <w:rPr>
          <w:color w:val="000000" w:themeColor="text1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2.8. </w:t>
      </w:r>
      <w:proofErr w:type="gramStart"/>
      <w:r w:rsidRPr="00440FB5">
        <w:rPr>
          <w:color w:val="000000" w:themeColor="text1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2.9. </w:t>
      </w:r>
      <w:proofErr w:type="gramStart"/>
      <w:r w:rsidRPr="00440FB5">
        <w:rPr>
          <w:color w:val="000000" w:themeColor="text1"/>
        </w:rPr>
        <w:t xml:space="preserve">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  <w:proofErr w:type="gramEnd"/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2.10.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К Акту осмотра прикладываются материалы </w:t>
      </w:r>
      <w:proofErr w:type="spellStart"/>
      <w:r w:rsidRPr="00440FB5">
        <w:rPr>
          <w:color w:val="000000" w:themeColor="text1"/>
        </w:rPr>
        <w:t>фотофиксации</w:t>
      </w:r>
      <w:proofErr w:type="spellEnd"/>
      <w:r w:rsidRPr="00440FB5">
        <w:rPr>
          <w:color w:val="000000" w:themeColor="text1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40FB5">
        <w:rPr>
          <w:color w:val="000000" w:themeColor="text1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  <w:proofErr w:type="gramEnd"/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2.11. </w:t>
      </w:r>
      <w:proofErr w:type="gramStart"/>
      <w:r w:rsidRPr="00440FB5">
        <w:rPr>
          <w:color w:val="000000" w:themeColor="text1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  <w:proofErr w:type="gramEnd"/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40FB5">
        <w:rPr>
          <w:color w:val="000000" w:themeColor="text1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2.13. </w:t>
      </w:r>
      <w:proofErr w:type="gramStart"/>
      <w:r w:rsidRPr="00440FB5">
        <w:rPr>
          <w:color w:val="000000" w:themeColor="text1"/>
        </w:rPr>
        <w:t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</w:t>
      </w:r>
      <w:proofErr w:type="gramEnd"/>
      <w:r w:rsidRPr="00440FB5">
        <w:rPr>
          <w:color w:val="000000" w:themeColor="text1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 xml:space="preserve">2.14. </w:t>
      </w:r>
      <w:proofErr w:type="gramStart"/>
      <w:r w:rsidRPr="00440FB5">
        <w:rPr>
          <w:color w:val="000000" w:themeColor="text1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</w:t>
      </w:r>
      <w:proofErr w:type="gramStart"/>
      <w:r w:rsidRPr="00440FB5">
        <w:rPr>
          <w:color w:val="000000" w:themeColor="text1"/>
        </w:rPr>
        <w:t xml:space="preserve">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B36402" w:rsidRPr="00440FB5" w:rsidRDefault="00B36402" w:rsidP="00B36402">
      <w:pPr>
        <w:pStyle w:val="ConsPlusNormal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B36402" w:rsidRPr="00B36402" w:rsidRDefault="00B36402" w:rsidP="00B36402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B36402" w:rsidRPr="00440FB5" w:rsidRDefault="00B36402" w:rsidP="00B36402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>
        <w:rPr>
          <w:color w:val="000000" w:themeColor="text1"/>
        </w:rPr>
        <w:t>Таушкасинского сельского поселения Цивильского района Чувашской Республики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  <w:proofErr w:type="gramEnd"/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B36402" w:rsidRPr="00440FB5" w:rsidRDefault="00B36402" w:rsidP="00B36402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</w:t>
      </w:r>
      <w:proofErr w:type="gramStart"/>
      <w:r w:rsidRPr="00440FB5">
        <w:rPr>
          <w:color w:val="000000" w:themeColor="text1"/>
        </w:rPr>
        <w:t>осуществлять иные обязанности</w:t>
      </w:r>
      <w:proofErr w:type="gramEnd"/>
      <w:r w:rsidRPr="00440FB5">
        <w:rPr>
          <w:color w:val="000000" w:themeColor="text1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>
        <w:rPr>
          <w:color w:val="000000" w:themeColor="text1"/>
        </w:rPr>
        <w:t>Таушкасинского сельского поселения Цивильского района Чувашской Республики.</w:t>
      </w:r>
    </w:p>
    <w:p w:rsidR="00B36402" w:rsidRPr="00440FB5" w:rsidRDefault="00B36402" w:rsidP="00B3640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lastRenderedPageBreak/>
        <w:t>4. Права должностных лиц</w:t>
      </w:r>
    </w:p>
    <w:p w:rsidR="00B36402" w:rsidRPr="00440FB5" w:rsidRDefault="00B36402" w:rsidP="00B36402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B36402" w:rsidRPr="00440FB5" w:rsidRDefault="00B36402" w:rsidP="00B36402">
      <w:pPr>
        <w:pStyle w:val="ConsPlusNormal"/>
        <w:ind w:firstLine="70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>
        <w:rPr>
          <w:color w:val="000000" w:themeColor="text1"/>
        </w:rPr>
        <w:t>Таушкасинского сельского поселения Цивильского района Чувашской Республики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B36402" w:rsidRPr="00440FB5" w:rsidRDefault="00B36402" w:rsidP="00B36402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B36402" w:rsidRPr="00440FB5" w:rsidRDefault="00B36402" w:rsidP="00B36402">
      <w:pPr>
        <w:pStyle w:val="ConsPlusNormal"/>
        <w:spacing w:line="240" w:lineRule="exact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B36402" w:rsidRPr="00440FB5" w:rsidRDefault="00B36402" w:rsidP="00B3640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B36402" w:rsidRPr="00440FB5" w:rsidRDefault="00B36402" w:rsidP="00B36402">
      <w:pPr>
        <w:pStyle w:val="ConsPlusNormal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Normal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36402" w:rsidRDefault="00B36402" w:rsidP="00B36402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36402" w:rsidRDefault="00B36402" w:rsidP="00B36402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36402" w:rsidRPr="00440FB5" w:rsidRDefault="00B36402" w:rsidP="00B36402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36402" w:rsidRPr="00B36402" w:rsidRDefault="00B36402" w:rsidP="00B36402">
      <w:pPr>
        <w:pStyle w:val="ConsPlusNormal"/>
        <w:spacing w:line="240" w:lineRule="exact"/>
        <w:jc w:val="right"/>
        <w:outlineLvl w:val="1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>Приложение</w:t>
      </w:r>
    </w:p>
    <w:p w:rsidR="00B36402" w:rsidRPr="00B36402" w:rsidRDefault="00B36402" w:rsidP="00B36402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>к Порядку</w:t>
      </w:r>
    </w:p>
    <w:p w:rsidR="00B36402" w:rsidRPr="00B36402" w:rsidRDefault="00B36402" w:rsidP="00B36402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>проведения осмотра зданий, сооружений в целях оценки их</w:t>
      </w:r>
    </w:p>
    <w:p w:rsidR="00B36402" w:rsidRPr="00B36402" w:rsidRDefault="00B36402" w:rsidP="00B36402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>технического состояния и надлежащего технического</w:t>
      </w:r>
    </w:p>
    <w:p w:rsidR="00B36402" w:rsidRPr="00B36402" w:rsidRDefault="00B36402" w:rsidP="00B36402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 xml:space="preserve">обслуживания в соответствии с требованиями </w:t>
      </w:r>
      <w:proofErr w:type="gramStart"/>
      <w:r w:rsidRPr="00B36402">
        <w:rPr>
          <w:color w:val="000000" w:themeColor="text1"/>
          <w:sz w:val="20"/>
          <w:szCs w:val="20"/>
        </w:rPr>
        <w:t>технических</w:t>
      </w:r>
      <w:proofErr w:type="gramEnd"/>
    </w:p>
    <w:p w:rsidR="00B36402" w:rsidRPr="00B36402" w:rsidRDefault="00B36402" w:rsidP="00B36402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>регламентов к конструктивным и другим характеристикам</w:t>
      </w:r>
    </w:p>
    <w:p w:rsidR="00B36402" w:rsidRPr="00B36402" w:rsidRDefault="00B36402" w:rsidP="00B36402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>надежности и безопасности объектов, требованиями проектной</w:t>
      </w:r>
    </w:p>
    <w:p w:rsidR="00B36402" w:rsidRPr="00B36402" w:rsidRDefault="00B36402" w:rsidP="00B36402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 xml:space="preserve">документации указанных объектов на территории </w:t>
      </w:r>
    </w:p>
    <w:p w:rsidR="00B36402" w:rsidRPr="00B36402" w:rsidRDefault="00B36402" w:rsidP="00B36402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>Таушкасинского сельского поселения</w:t>
      </w:r>
    </w:p>
    <w:p w:rsidR="00B36402" w:rsidRPr="00B36402" w:rsidRDefault="00B36402" w:rsidP="00B36402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B36402">
        <w:rPr>
          <w:color w:val="000000" w:themeColor="text1"/>
          <w:sz w:val="20"/>
          <w:szCs w:val="20"/>
        </w:rPr>
        <w:t xml:space="preserve"> Цивильского района Чувашской Республики</w:t>
      </w:r>
    </w:p>
    <w:p w:rsidR="00B36402" w:rsidRDefault="00B36402" w:rsidP="00B36402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B36402" w:rsidRPr="00440FB5" w:rsidRDefault="00B36402" w:rsidP="00B36402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УТВЕРЖДАЮ</w:t>
      </w:r>
    </w:p>
    <w:p w:rsidR="00B36402" w:rsidRPr="00440FB5" w:rsidRDefault="00B36402" w:rsidP="00B36402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B36402" w:rsidRPr="00B36402" w:rsidRDefault="00B36402" w:rsidP="00B36402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B36402">
        <w:rPr>
          <w:rFonts w:ascii="Times New Roman" w:hAnsi="Times New Roman" w:cs="Times New Roman"/>
          <w:color w:val="000000" w:themeColor="text1"/>
          <w:sz w:val="24"/>
          <w:szCs w:val="24"/>
        </w:rPr>
        <w:t>Таушкасинского сельского поселения</w:t>
      </w:r>
    </w:p>
    <w:p w:rsidR="00B36402" w:rsidRPr="00B36402" w:rsidRDefault="00B36402" w:rsidP="00B36402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района Чувашской Республики </w:t>
      </w:r>
    </w:p>
    <w:p w:rsidR="00B36402" w:rsidRPr="00440FB5" w:rsidRDefault="00B36402" w:rsidP="00B36402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B36402" w:rsidRPr="00C55092" w:rsidRDefault="00B36402" w:rsidP="00B36402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Pr="00C55092">
        <w:rPr>
          <w:rFonts w:ascii="Times New Roman" w:hAnsi="Times New Roman" w:cs="Times New Roman"/>
          <w:color w:val="000000" w:themeColor="text1"/>
        </w:rPr>
        <w:t>(подпись) (Ф.И.О.)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Акт осмотра здания, сооружения </w:t>
      </w:r>
    </w:p>
    <w:p w:rsidR="00B36402" w:rsidRPr="00C55092" w:rsidRDefault="00B36402" w:rsidP="00C5509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«__» __________ 20__ г. </w:t>
      </w:r>
      <w:bookmarkStart w:id="2" w:name="Par151"/>
      <w:bookmarkEnd w:id="2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______________                                          </w:t>
      </w:r>
      <w:r w:rsidR="00C55092" w:rsidRPr="00C55092">
        <w:rPr>
          <w:rFonts w:ascii="Times New Roman" w:hAnsi="Times New Roman" w:cs="Times New Roman"/>
          <w:color w:val="000000" w:themeColor="text1"/>
        </w:rPr>
        <w:t xml:space="preserve"> (дата, время составления)</w:t>
      </w:r>
      <w:r w:rsidR="00C55092">
        <w:rPr>
          <w:rFonts w:ascii="Times New Roman" w:hAnsi="Times New Roman" w:cs="Times New Roman"/>
          <w:color w:val="000000" w:themeColor="text1"/>
        </w:rPr>
        <w:t xml:space="preserve">         </w:t>
      </w:r>
      <w:r w:rsidR="00645185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C55092">
        <w:rPr>
          <w:rFonts w:ascii="Times New Roman" w:hAnsi="Times New Roman" w:cs="Times New Roman"/>
          <w:color w:val="000000" w:themeColor="text1"/>
        </w:rPr>
        <w:t xml:space="preserve">  </w:t>
      </w:r>
      <w:r w:rsidR="00645185" w:rsidRPr="00645185">
        <w:rPr>
          <w:rFonts w:ascii="Times New Roman" w:hAnsi="Times New Roman" w:cs="Times New Roman"/>
          <w:color w:val="000000" w:themeColor="text1"/>
        </w:rPr>
        <w:t>(указывается наименование муниципального образования)</w:t>
      </w:r>
      <w:r w:rsidR="00C55092" w:rsidRPr="00645185">
        <w:rPr>
          <w:rFonts w:ascii="Times New Roman" w:hAnsi="Times New Roman" w:cs="Times New Roman"/>
          <w:color w:val="000000" w:themeColor="text1"/>
        </w:rPr>
        <w:t xml:space="preserve"> </w:t>
      </w:r>
      <w:r w:rsidR="00C55092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B36402">
        <w:rPr>
          <w:rFonts w:ascii="Times New Roman" w:hAnsi="Times New Roman" w:cs="Times New Roman"/>
          <w:color w:val="000000" w:themeColor="text1"/>
        </w:rPr>
        <w:t>(фамилии, имена, отчества, должности членов комиссии, ответственных за проведение осмотра зданий, сооружений)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 организаций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36402" w:rsidRPr="00B36402" w:rsidRDefault="00B36402" w:rsidP="00B3640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B36402">
        <w:rPr>
          <w:rFonts w:ascii="Times New Roman" w:hAnsi="Times New Roman" w:cs="Times New Roman"/>
          <w:color w:val="000000" w:themeColor="text1"/>
        </w:rPr>
        <w:t>(фамилия, имя, отчество, должность, место работы)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36402" w:rsidRPr="00440FB5" w:rsidRDefault="00B36402" w:rsidP="00B36402">
      <w:pPr>
        <w:pStyle w:val="ConsPlusNormal"/>
        <w:spacing w:before="100" w:beforeAutospacing="1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на  основании  распоряжения администрации </w:t>
      </w:r>
      <w:r>
        <w:rPr>
          <w:color w:val="000000" w:themeColor="text1"/>
        </w:rPr>
        <w:t>Таушкасинского сельского поселения Цивильского района Чувашской Республики</w:t>
      </w:r>
    </w:p>
    <w:p w:rsidR="00B36402" w:rsidRPr="00440FB5" w:rsidRDefault="00B36402" w:rsidP="00B36402">
      <w:pPr>
        <w:pStyle w:val="ConsPlusNormal"/>
        <w:spacing w:before="100" w:beforeAutospacing="1"/>
        <w:jc w:val="center"/>
        <w:rPr>
          <w:color w:val="000000" w:themeColor="text1"/>
        </w:rPr>
      </w:pPr>
      <w:r w:rsidRPr="00440FB5">
        <w:rPr>
          <w:color w:val="000000" w:themeColor="text1"/>
        </w:rPr>
        <w:t xml:space="preserve">___________________________________________________________________________ </w:t>
      </w:r>
      <w:r w:rsidRPr="00B36402">
        <w:rPr>
          <w:color w:val="000000" w:themeColor="text1"/>
          <w:sz w:val="20"/>
          <w:szCs w:val="20"/>
        </w:rPr>
        <w:t>(дата и номер)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B36402" w:rsidRPr="00B36402" w:rsidRDefault="00B36402" w:rsidP="00B36402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 </w:t>
      </w:r>
      <w:r w:rsidRPr="00B36402">
        <w:rPr>
          <w:rFonts w:ascii="Times New Roman" w:hAnsi="Times New Roman" w:cs="Times New Roman"/>
          <w:color w:val="000000" w:themeColor="text1"/>
        </w:rPr>
        <w:t>(наименование здания, сооружения, его место нахождения)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B36402" w:rsidRPr="00440FB5" w:rsidRDefault="00B36402" w:rsidP="00B36402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</w:t>
      </w:r>
      <w:r w:rsidRPr="00B36402">
        <w:rPr>
          <w:rFonts w:ascii="Times New Roman" w:hAnsi="Times New Roman" w:cs="Times New Roman"/>
          <w:color w:val="000000" w:themeColor="text1"/>
        </w:rPr>
        <w:t>(подробное описание данных, характеризующих состояние объекта осмотра)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36402" w:rsidRPr="00440FB5" w:rsidRDefault="00B36402" w:rsidP="00B36402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    </w:t>
      </w:r>
      <w:r w:rsidRPr="00C55092">
        <w:rPr>
          <w:rFonts w:ascii="Times New Roman" w:hAnsi="Times New Roman" w:cs="Times New Roman"/>
          <w:color w:val="000000" w:themeColor="text1"/>
        </w:rPr>
        <w:t>(в случае выявления указываются нарушения требований технических регламентов, проектной документации)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B36402" w:rsidRPr="00440FB5" w:rsidRDefault="00B36402" w:rsidP="00B36402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</w:t>
      </w:r>
      <w:r w:rsidRPr="00C55092">
        <w:rPr>
          <w:rFonts w:ascii="Times New Roman" w:hAnsi="Times New Roman" w:cs="Times New Roman"/>
          <w:color w:val="000000" w:themeColor="text1"/>
        </w:rPr>
        <w:t>(фамилии, имена, отчества заявителя, лица, ответственного за эксплуатацию здания, сооружения, и др.)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B36402" w:rsidRPr="00440FB5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   </w:t>
      </w:r>
      <w:r w:rsidRPr="00C55092">
        <w:rPr>
          <w:rFonts w:ascii="Times New Roman" w:hAnsi="Times New Roman" w:cs="Times New Roman"/>
          <w:color w:val="000000" w:themeColor="text1"/>
        </w:rPr>
        <w:t xml:space="preserve">(материалы </w:t>
      </w:r>
      <w:proofErr w:type="spellStart"/>
      <w:r w:rsidRPr="00C55092">
        <w:rPr>
          <w:rFonts w:ascii="Times New Roman" w:hAnsi="Times New Roman" w:cs="Times New Roman"/>
          <w:color w:val="000000" w:themeColor="text1"/>
        </w:rPr>
        <w:t>фотофиксации</w:t>
      </w:r>
      <w:proofErr w:type="spellEnd"/>
      <w:r w:rsidRPr="00C55092">
        <w:rPr>
          <w:rFonts w:ascii="Times New Roman" w:hAnsi="Times New Roman" w:cs="Times New Roman"/>
          <w:color w:val="000000" w:themeColor="text1"/>
        </w:rPr>
        <w:t xml:space="preserve"> осматриваемого здания, сооружения и иные материалы, оформленные в ходе осмотра)</w:t>
      </w:r>
    </w:p>
    <w:p w:rsidR="00C55092" w:rsidRDefault="00B3640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  <w:r w:rsidR="00C5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 </w:t>
      </w:r>
    </w:p>
    <w:p w:rsidR="00C55092" w:rsidRDefault="00C5509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B36402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B36402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</w:p>
    <w:p w:rsidR="00B36402" w:rsidRPr="00440FB5" w:rsidRDefault="00C55092" w:rsidP="00B36402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B36402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B36402" w:rsidRPr="00440FB5" w:rsidRDefault="00B36402" w:rsidP="00B36402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B36402" w:rsidRPr="00440FB5" w:rsidRDefault="00B36402" w:rsidP="00B36402">
      <w:pPr>
        <w:spacing w:before="100" w:beforeAutospacing="1"/>
        <w:rPr>
          <w:color w:val="000000" w:themeColor="text1"/>
        </w:rPr>
      </w:pPr>
    </w:p>
    <w:p w:rsidR="00B36402" w:rsidRDefault="00B36402" w:rsidP="00C05259"/>
    <w:p w:rsidR="00B36402" w:rsidRPr="008C507C" w:rsidRDefault="00B36402" w:rsidP="00C05259"/>
    <w:sectPr w:rsidR="00B36402" w:rsidRPr="008C507C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59"/>
    <w:rsid w:val="001247D1"/>
    <w:rsid w:val="00143A41"/>
    <w:rsid w:val="001B7044"/>
    <w:rsid w:val="003A4B0C"/>
    <w:rsid w:val="004C75D5"/>
    <w:rsid w:val="00614908"/>
    <w:rsid w:val="0062469F"/>
    <w:rsid w:val="00645185"/>
    <w:rsid w:val="0070250D"/>
    <w:rsid w:val="007131FE"/>
    <w:rsid w:val="007B6608"/>
    <w:rsid w:val="008C6702"/>
    <w:rsid w:val="0098224B"/>
    <w:rsid w:val="009A149F"/>
    <w:rsid w:val="00B254EF"/>
    <w:rsid w:val="00B36402"/>
    <w:rsid w:val="00C05259"/>
    <w:rsid w:val="00C55092"/>
    <w:rsid w:val="00D852F1"/>
    <w:rsid w:val="00E12F3D"/>
    <w:rsid w:val="00E52B34"/>
    <w:rsid w:val="00F41618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  <w:style w:type="paragraph" w:customStyle="1" w:styleId="ConsPlusNormal">
    <w:name w:val="ConsPlusNormal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BB24-7881-4DBA-8567-72083E40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Специалист</cp:lastModifiedBy>
  <cp:revision>5</cp:revision>
  <cp:lastPrinted>2022-08-25T07:17:00Z</cp:lastPrinted>
  <dcterms:created xsi:type="dcterms:W3CDTF">2022-08-05T05:53:00Z</dcterms:created>
  <dcterms:modified xsi:type="dcterms:W3CDTF">2022-08-25T07:17:00Z</dcterms:modified>
</cp:coreProperties>
</file>