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4" w:type="dxa"/>
        <w:tblLook w:val="0000"/>
      </w:tblPr>
      <w:tblGrid>
        <w:gridCol w:w="4267"/>
        <w:gridCol w:w="1256"/>
        <w:gridCol w:w="4291"/>
      </w:tblGrid>
      <w:tr w:rsidR="000B35A2" w:rsidRPr="00A62954" w:rsidTr="000539BB">
        <w:trPr>
          <w:cantSplit/>
          <w:trHeight w:val="542"/>
        </w:trPr>
        <w:tc>
          <w:tcPr>
            <w:tcW w:w="4267" w:type="dxa"/>
          </w:tcPr>
          <w:p w:rsidR="000B35A2" w:rsidRPr="00A62954" w:rsidRDefault="000B35A2" w:rsidP="000539BB">
            <w:pPr>
              <w:spacing w:line="192" w:lineRule="auto"/>
              <w:jc w:val="center"/>
              <w:rPr>
                <w:bCs/>
                <w:noProof/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2512695</wp:posOffset>
                  </wp:positionH>
                  <wp:positionV relativeFrom="paragraph">
                    <wp:posOffset>-4445</wp:posOffset>
                  </wp:positionV>
                  <wp:extent cx="720090" cy="720090"/>
                  <wp:effectExtent l="19050" t="0" r="3810" b="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12065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62954">
              <w:rPr>
                <w:bCs/>
                <w:noProof/>
                <w:color w:val="000000"/>
              </w:rPr>
              <w:t>ЧĂВАШ  РЕСПУБЛИКИ</w:t>
            </w:r>
          </w:p>
          <w:p w:rsidR="000B35A2" w:rsidRPr="00A62954" w:rsidRDefault="000B35A2" w:rsidP="000539BB">
            <w:pPr>
              <w:spacing w:line="192" w:lineRule="auto"/>
              <w:jc w:val="center"/>
              <w:rPr>
                <w:color w:val="000000"/>
              </w:rPr>
            </w:pPr>
            <w:r w:rsidRPr="00A62954">
              <w:rPr>
                <w:bCs/>
                <w:caps/>
                <w:color w:val="000000"/>
              </w:rPr>
              <w:t>Сентерварри</w:t>
            </w:r>
            <w:r w:rsidRPr="00A62954">
              <w:rPr>
                <w:bCs/>
                <w:noProof/>
                <w:color w:val="000000"/>
              </w:rPr>
              <w:t xml:space="preserve"> РАЙОНĚ</w:t>
            </w:r>
            <w:r w:rsidRPr="00A62954">
              <w:rPr>
                <w:noProof/>
                <w:color w:val="000000"/>
              </w:rPr>
              <w:t xml:space="preserve"> </w:t>
            </w:r>
          </w:p>
        </w:tc>
        <w:tc>
          <w:tcPr>
            <w:tcW w:w="1256" w:type="dxa"/>
            <w:vMerge w:val="restart"/>
          </w:tcPr>
          <w:p w:rsidR="000B35A2" w:rsidRPr="00A62954" w:rsidRDefault="000B35A2" w:rsidP="000539BB">
            <w:pPr>
              <w:jc w:val="center"/>
              <w:rPr>
                <w:color w:val="000000"/>
              </w:rPr>
            </w:pPr>
          </w:p>
        </w:tc>
        <w:tc>
          <w:tcPr>
            <w:tcW w:w="4291" w:type="dxa"/>
          </w:tcPr>
          <w:p w:rsidR="000B35A2" w:rsidRPr="00A62954" w:rsidRDefault="000B35A2" w:rsidP="000539BB">
            <w:pPr>
              <w:spacing w:line="192" w:lineRule="auto"/>
              <w:jc w:val="center"/>
              <w:rPr>
                <w:rStyle w:val="a4"/>
                <w:noProof/>
                <w:color w:val="000000"/>
              </w:rPr>
            </w:pPr>
            <w:r w:rsidRPr="00A62954">
              <w:rPr>
                <w:noProof/>
                <w:color w:val="000000"/>
              </w:rPr>
              <w:t>ЧУВАШСКАЯ РЕСПУБЛИКА</w:t>
            </w:r>
            <w:r w:rsidRPr="00A62954">
              <w:rPr>
                <w:rStyle w:val="a4"/>
                <w:noProof/>
                <w:color w:val="000000"/>
              </w:rPr>
              <w:t xml:space="preserve"> </w:t>
            </w:r>
          </w:p>
          <w:p w:rsidR="000B35A2" w:rsidRPr="00A62954" w:rsidRDefault="000B35A2" w:rsidP="000539BB">
            <w:pPr>
              <w:spacing w:line="192" w:lineRule="auto"/>
              <w:jc w:val="center"/>
              <w:rPr>
                <w:color w:val="000000"/>
              </w:rPr>
            </w:pPr>
            <w:r w:rsidRPr="00A62954">
              <w:rPr>
                <w:noProof/>
                <w:color w:val="000000"/>
              </w:rPr>
              <w:t xml:space="preserve">МАРИИНСКО-ПОСАДСКИЙ РАЙОН </w:t>
            </w:r>
          </w:p>
        </w:tc>
      </w:tr>
      <w:tr w:rsidR="000B35A2" w:rsidRPr="00A62954" w:rsidTr="000539BB">
        <w:trPr>
          <w:cantSplit/>
          <w:trHeight w:val="1785"/>
        </w:trPr>
        <w:tc>
          <w:tcPr>
            <w:tcW w:w="4267" w:type="dxa"/>
          </w:tcPr>
          <w:p w:rsidR="000B35A2" w:rsidRPr="00A62954" w:rsidRDefault="000B35A2" w:rsidP="000539BB">
            <w:pPr>
              <w:spacing w:before="40" w:line="192" w:lineRule="auto"/>
              <w:jc w:val="center"/>
              <w:rPr>
                <w:noProof/>
                <w:color w:val="000000"/>
              </w:rPr>
            </w:pPr>
            <w:r w:rsidRPr="00A62954">
              <w:rPr>
                <w:noProof/>
                <w:color w:val="000000"/>
              </w:rPr>
              <w:t xml:space="preserve">КАРАПАШ  ПОСЕЛЕНИЙĚН </w:t>
            </w:r>
          </w:p>
          <w:p w:rsidR="000B35A2" w:rsidRPr="00A62954" w:rsidRDefault="000B35A2" w:rsidP="000539BB">
            <w:pPr>
              <w:spacing w:before="20" w:line="192" w:lineRule="auto"/>
              <w:jc w:val="center"/>
              <w:rPr>
                <w:rStyle w:val="a4"/>
                <w:b w:val="0"/>
                <w:color w:val="000000"/>
              </w:rPr>
            </w:pPr>
            <w:r w:rsidRPr="00A62954">
              <w:rPr>
                <w:noProof/>
                <w:color w:val="000000"/>
              </w:rPr>
              <w:t>ДЕПУТАТСЕН ПУХĂВĚ</w:t>
            </w:r>
            <w:r w:rsidRPr="00A62954">
              <w:rPr>
                <w:rStyle w:val="a4"/>
                <w:b w:val="0"/>
                <w:noProof/>
                <w:color w:val="000000"/>
              </w:rPr>
              <w:t xml:space="preserve"> </w:t>
            </w:r>
          </w:p>
          <w:p w:rsidR="000B35A2" w:rsidRPr="00A62954" w:rsidRDefault="000B35A2" w:rsidP="000539BB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35A2" w:rsidRPr="00A62954" w:rsidRDefault="000B35A2" w:rsidP="000539BB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</w:p>
          <w:p w:rsidR="000B35A2" w:rsidRPr="00A62954" w:rsidRDefault="000B35A2" w:rsidP="000539BB">
            <w:pPr>
              <w:pStyle w:val="a3"/>
              <w:spacing w:line="192" w:lineRule="auto"/>
              <w:ind w:right="-35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62954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                    ЙЫШĂНУ</w:t>
            </w:r>
          </w:p>
          <w:p w:rsidR="000B35A2" w:rsidRPr="00A62954" w:rsidRDefault="000B35A2" w:rsidP="000539BB">
            <w:pPr>
              <w:rPr>
                <w:color w:val="000000"/>
              </w:rPr>
            </w:pPr>
          </w:p>
          <w:p w:rsidR="000B35A2" w:rsidRPr="00A62954" w:rsidRDefault="000B35A2" w:rsidP="000539BB">
            <w:pPr>
              <w:rPr>
                <w:color w:val="000000"/>
              </w:rPr>
            </w:pPr>
            <w:r w:rsidRPr="00A62954">
              <w:rPr>
                <w:color w:val="000000"/>
              </w:rPr>
              <w:t xml:space="preserve">             2013   </w:t>
            </w:r>
            <w:r>
              <w:rPr>
                <w:color w:val="000000"/>
              </w:rPr>
              <w:t>25</w:t>
            </w:r>
            <w:r w:rsidRPr="00A62954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11</w:t>
            </w:r>
            <w:r w:rsidRPr="00A62954">
              <w:rPr>
                <w:color w:val="000000"/>
              </w:rPr>
              <w:t>.    № С-</w:t>
            </w:r>
            <w:r>
              <w:rPr>
                <w:color w:val="000000"/>
              </w:rPr>
              <w:t>51</w:t>
            </w:r>
            <w:r w:rsidRPr="00A62954">
              <w:rPr>
                <w:color w:val="000000"/>
              </w:rPr>
              <w:t>/</w:t>
            </w:r>
            <w:r>
              <w:rPr>
                <w:color w:val="000000"/>
              </w:rPr>
              <w:t>1</w:t>
            </w:r>
          </w:p>
          <w:p w:rsidR="000B35A2" w:rsidRPr="00A62954" w:rsidRDefault="000B35A2" w:rsidP="000539BB">
            <w:pPr>
              <w:jc w:val="center"/>
              <w:rPr>
                <w:noProof/>
                <w:color w:val="000000"/>
              </w:rPr>
            </w:pPr>
            <w:r w:rsidRPr="00A62954">
              <w:rPr>
                <w:noProof/>
                <w:color w:val="000000"/>
              </w:rPr>
              <w:t xml:space="preserve"> Карапаш ялě</w:t>
            </w:r>
          </w:p>
        </w:tc>
        <w:tc>
          <w:tcPr>
            <w:tcW w:w="1256" w:type="dxa"/>
            <w:vMerge/>
            <w:vAlign w:val="center"/>
          </w:tcPr>
          <w:p w:rsidR="000B35A2" w:rsidRPr="00A62954" w:rsidRDefault="000B35A2" w:rsidP="000539BB">
            <w:pPr>
              <w:rPr>
                <w:color w:val="000000"/>
              </w:rPr>
            </w:pPr>
          </w:p>
        </w:tc>
        <w:tc>
          <w:tcPr>
            <w:tcW w:w="4291" w:type="dxa"/>
          </w:tcPr>
          <w:p w:rsidR="000B35A2" w:rsidRPr="00A62954" w:rsidRDefault="000B35A2" w:rsidP="000539BB">
            <w:pPr>
              <w:spacing w:before="40" w:line="192" w:lineRule="auto"/>
              <w:jc w:val="center"/>
              <w:rPr>
                <w:noProof/>
                <w:color w:val="000000"/>
              </w:rPr>
            </w:pPr>
            <w:r w:rsidRPr="00A62954">
              <w:rPr>
                <w:noProof/>
                <w:color w:val="000000"/>
              </w:rPr>
              <w:t xml:space="preserve">СОБРАНИЕ ДЕПУТАТОВ </w:t>
            </w:r>
          </w:p>
          <w:p w:rsidR="000B35A2" w:rsidRPr="00A62954" w:rsidRDefault="000B35A2" w:rsidP="000539BB">
            <w:pPr>
              <w:spacing w:line="192" w:lineRule="auto"/>
              <w:jc w:val="center"/>
              <w:rPr>
                <w:noProof/>
                <w:color w:val="000000"/>
              </w:rPr>
            </w:pPr>
            <w:r w:rsidRPr="00A62954">
              <w:rPr>
                <w:noProof/>
                <w:color w:val="000000"/>
              </w:rPr>
              <w:t>КАРАБАШСКОГО  СЕЛЬСКОГО</w:t>
            </w:r>
          </w:p>
          <w:p w:rsidR="000B35A2" w:rsidRPr="00A62954" w:rsidRDefault="000B35A2" w:rsidP="000539BB">
            <w:pPr>
              <w:spacing w:line="192" w:lineRule="auto"/>
              <w:jc w:val="center"/>
              <w:rPr>
                <w:noProof/>
                <w:color w:val="000000"/>
              </w:rPr>
            </w:pPr>
            <w:r w:rsidRPr="00A62954">
              <w:rPr>
                <w:noProof/>
                <w:color w:val="000000"/>
              </w:rPr>
              <w:t xml:space="preserve"> ПОСЕЛЕНИЯ </w:t>
            </w:r>
          </w:p>
          <w:p w:rsidR="000B35A2" w:rsidRPr="00A62954" w:rsidRDefault="000B35A2" w:rsidP="000539BB">
            <w:pPr>
              <w:pStyle w:val="2"/>
              <w:keepNext w:val="0"/>
              <w:spacing w:line="192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6295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РЕШЕНИЕ</w:t>
            </w:r>
          </w:p>
          <w:p w:rsidR="000B35A2" w:rsidRPr="00A62954" w:rsidRDefault="000B35A2" w:rsidP="000539BB">
            <w:pPr>
              <w:rPr>
                <w:color w:val="000000"/>
              </w:rPr>
            </w:pPr>
          </w:p>
          <w:p w:rsidR="000B35A2" w:rsidRPr="00A62954" w:rsidRDefault="000B35A2" w:rsidP="000539BB">
            <w:pPr>
              <w:ind w:left="240"/>
              <w:rPr>
                <w:color w:val="000000"/>
              </w:rPr>
            </w:pPr>
            <w:r w:rsidRPr="00A62954">
              <w:rPr>
                <w:color w:val="000000"/>
              </w:rPr>
              <w:t xml:space="preserve">               </w:t>
            </w:r>
            <w:r>
              <w:rPr>
                <w:color w:val="000000"/>
              </w:rPr>
              <w:t>25</w:t>
            </w:r>
            <w:r w:rsidRPr="00A62954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11</w:t>
            </w:r>
            <w:r w:rsidRPr="00A62954">
              <w:rPr>
                <w:color w:val="000000"/>
              </w:rPr>
              <w:t>.  2013  № С-</w:t>
            </w:r>
            <w:r>
              <w:rPr>
                <w:color w:val="000000"/>
              </w:rPr>
              <w:t>51</w:t>
            </w:r>
            <w:r w:rsidRPr="00A62954">
              <w:rPr>
                <w:color w:val="000000"/>
              </w:rPr>
              <w:t>/</w:t>
            </w:r>
            <w:r>
              <w:rPr>
                <w:color w:val="000000"/>
              </w:rPr>
              <w:t>1</w:t>
            </w:r>
            <w:r w:rsidRPr="00A62954">
              <w:rPr>
                <w:color w:val="000000"/>
              </w:rPr>
              <w:t xml:space="preserve"> </w:t>
            </w:r>
          </w:p>
          <w:p w:rsidR="000B35A2" w:rsidRPr="00A62954" w:rsidRDefault="000B35A2" w:rsidP="000539BB">
            <w:pPr>
              <w:jc w:val="center"/>
              <w:rPr>
                <w:noProof/>
                <w:color w:val="000000"/>
              </w:rPr>
            </w:pPr>
            <w:r w:rsidRPr="00A62954">
              <w:rPr>
                <w:color w:val="000000"/>
              </w:rPr>
              <w:t xml:space="preserve">              деревня Карабаши</w:t>
            </w:r>
          </w:p>
        </w:tc>
      </w:tr>
    </w:tbl>
    <w:p w:rsidR="000B35A2" w:rsidRDefault="000B35A2" w:rsidP="000B35A2"/>
    <w:p w:rsidR="000B35A2" w:rsidRPr="000122D5" w:rsidRDefault="000B35A2" w:rsidP="000B35A2">
      <w:pPr>
        <w:ind w:right="-512"/>
        <w:rPr>
          <w:b/>
          <w:sz w:val="22"/>
          <w:szCs w:val="22"/>
        </w:rPr>
      </w:pPr>
      <w:r w:rsidRPr="000122D5">
        <w:rPr>
          <w:b/>
          <w:sz w:val="22"/>
          <w:szCs w:val="22"/>
        </w:rPr>
        <w:t xml:space="preserve">О  внесении  изменений  в решение     </w:t>
      </w:r>
    </w:p>
    <w:p w:rsidR="000B35A2" w:rsidRPr="000122D5" w:rsidRDefault="000B35A2" w:rsidP="000B35A2">
      <w:pPr>
        <w:ind w:right="-512"/>
        <w:rPr>
          <w:b/>
          <w:sz w:val="22"/>
          <w:szCs w:val="22"/>
        </w:rPr>
      </w:pPr>
      <w:r w:rsidRPr="000122D5">
        <w:rPr>
          <w:b/>
          <w:sz w:val="22"/>
          <w:szCs w:val="22"/>
        </w:rPr>
        <w:t xml:space="preserve">Собрания     депутатов Карабашского </w:t>
      </w:r>
    </w:p>
    <w:p w:rsidR="000B35A2" w:rsidRPr="000122D5" w:rsidRDefault="000B35A2" w:rsidP="000B35A2">
      <w:pPr>
        <w:ind w:right="-512"/>
        <w:rPr>
          <w:b/>
          <w:sz w:val="22"/>
          <w:szCs w:val="22"/>
        </w:rPr>
      </w:pPr>
      <w:r w:rsidRPr="000122D5">
        <w:rPr>
          <w:b/>
          <w:sz w:val="22"/>
          <w:szCs w:val="22"/>
        </w:rPr>
        <w:t>сельского поселения Мариинско-</w:t>
      </w:r>
    </w:p>
    <w:p w:rsidR="000B35A2" w:rsidRPr="000122D5" w:rsidRDefault="000B35A2" w:rsidP="000B35A2">
      <w:pPr>
        <w:ind w:right="-512"/>
        <w:rPr>
          <w:b/>
          <w:sz w:val="22"/>
          <w:szCs w:val="22"/>
        </w:rPr>
      </w:pPr>
      <w:r w:rsidRPr="000122D5">
        <w:rPr>
          <w:b/>
          <w:sz w:val="22"/>
          <w:szCs w:val="22"/>
        </w:rPr>
        <w:t xml:space="preserve">Посадского района </w:t>
      </w:r>
      <w:proofErr w:type="gramStart"/>
      <w:r w:rsidRPr="000122D5">
        <w:rPr>
          <w:b/>
          <w:sz w:val="22"/>
          <w:szCs w:val="22"/>
        </w:rPr>
        <w:t>Чувашской</w:t>
      </w:r>
      <w:proofErr w:type="gramEnd"/>
      <w:r w:rsidRPr="000122D5">
        <w:rPr>
          <w:b/>
          <w:sz w:val="22"/>
          <w:szCs w:val="22"/>
        </w:rPr>
        <w:t xml:space="preserve"> </w:t>
      </w:r>
    </w:p>
    <w:p w:rsidR="000B35A2" w:rsidRPr="000122D5" w:rsidRDefault="000B35A2" w:rsidP="000B35A2">
      <w:pPr>
        <w:ind w:right="-512"/>
        <w:rPr>
          <w:sz w:val="22"/>
          <w:szCs w:val="22"/>
        </w:rPr>
      </w:pPr>
      <w:r w:rsidRPr="000122D5">
        <w:rPr>
          <w:b/>
          <w:sz w:val="22"/>
          <w:szCs w:val="22"/>
        </w:rPr>
        <w:t>Республики № С-31/2 от 21.09.2012 года</w:t>
      </w:r>
    </w:p>
    <w:p w:rsidR="000B35A2" w:rsidRPr="000122D5" w:rsidRDefault="000B35A2" w:rsidP="000B35A2">
      <w:pPr>
        <w:ind w:right="28" w:firstLine="900"/>
        <w:jc w:val="both"/>
        <w:rPr>
          <w:sz w:val="22"/>
          <w:szCs w:val="22"/>
        </w:rPr>
      </w:pPr>
    </w:p>
    <w:p w:rsidR="000B35A2" w:rsidRPr="000122D5" w:rsidRDefault="000B35A2" w:rsidP="000B35A2">
      <w:pPr>
        <w:ind w:right="28" w:firstLine="900"/>
        <w:jc w:val="both"/>
        <w:rPr>
          <w:sz w:val="22"/>
          <w:szCs w:val="22"/>
        </w:rPr>
      </w:pPr>
    </w:p>
    <w:p w:rsidR="000B35A2" w:rsidRPr="000122D5" w:rsidRDefault="000B35A2" w:rsidP="000B35A2">
      <w:pPr>
        <w:ind w:right="28" w:firstLine="900"/>
        <w:jc w:val="both"/>
        <w:rPr>
          <w:sz w:val="22"/>
          <w:szCs w:val="22"/>
        </w:rPr>
      </w:pPr>
      <w:proofErr w:type="gramStart"/>
      <w:r w:rsidRPr="000122D5">
        <w:rPr>
          <w:sz w:val="22"/>
          <w:szCs w:val="22"/>
        </w:rPr>
        <w:t xml:space="preserve">Руководствуясь Федеральным законом от 2 ноября </w:t>
      </w:r>
      <w:smartTag w:uri="urn:schemas-microsoft-com:office:smarttags" w:element="metricconverter">
        <w:smartTagPr>
          <w:attr w:name="ProductID" w:val="2013 г"/>
        </w:smartTagPr>
        <w:r w:rsidRPr="000122D5">
          <w:rPr>
            <w:sz w:val="22"/>
            <w:szCs w:val="22"/>
          </w:rPr>
          <w:t>2013 г</w:t>
        </w:r>
      </w:smartTag>
      <w:r w:rsidRPr="000122D5">
        <w:rPr>
          <w:sz w:val="22"/>
          <w:szCs w:val="22"/>
        </w:rPr>
        <w:t>. № 306-ФЗ «О внесении изменений в часть первую и вторую Налогового кодекса Российской Федерации и отдельные законодательные акты Российской Федерации», Законом Чувашской Республики от 2 октября 2012 года № 56 «О внесении изменений  в Закон Чувашской Республики «О вопросах налогового регулирования в Чувашской Республике, отнесенных законодательством Российской Федерации о налогах и сборах к ведению</w:t>
      </w:r>
      <w:proofErr w:type="gramEnd"/>
      <w:r w:rsidRPr="000122D5">
        <w:rPr>
          <w:sz w:val="22"/>
          <w:szCs w:val="22"/>
        </w:rPr>
        <w:t xml:space="preserve"> субъектов Российской Федерации» и  Законом Чувашской Республики от 11 октября 2013 года № 60 «О внесении изменений  в Закон Чувашской Республики «О вопросах налогового регулирования в Чувашской Республике, отнесенных законодательством Российской Федерации о налогах и сборах к ведению субъектов Российской Федерации»</w:t>
      </w:r>
    </w:p>
    <w:p w:rsidR="000B35A2" w:rsidRPr="000122D5" w:rsidRDefault="000B35A2" w:rsidP="000B35A2">
      <w:pPr>
        <w:ind w:right="28" w:firstLine="900"/>
        <w:jc w:val="both"/>
        <w:rPr>
          <w:sz w:val="22"/>
          <w:szCs w:val="22"/>
        </w:rPr>
      </w:pPr>
    </w:p>
    <w:p w:rsidR="000B35A2" w:rsidRPr="000122D5" w:rsidRDefault="000B35A2" w:rsidP="000B35A2">
      <w:pPr>
        <w:ind w:right="28" w:firstLine="900"/>
        <w:jc w:val="center"/>
        <w:rPr>
          <w:sz w:val="22"/>
          <w:szCs w:val="22"/>
        </w:rPr>
      </w:pPr>
      <w:r w:rsidRPr="000122D5">
        <w:rPr>
          <w:sz w:val="22"/>
          <w:szCs w:val="22"/>
        </w:rPr>
        <w:t>Собрание депутатов Карабашского сельского поселения</w:t>
      </w:r>
    </w:p>
    <w:p w:rsidR="000B35A2" w:rsidRPr="000122D5" w:rsidRDefault="000B35A2" w:rsidP="000B35A2">
      <w:pPr>
        <w:ind w:right="28" w:firstLine="900"/>
        <w:jc w:val="center"/>
        <w:rPr>
          <w:sz w:val="22"/>
          <w:szCs w:val="22"/>
        </w:rPr>
      </w:pPr>
      <w:proofErr w:type="spellStart"/>
      <w:proofErr w:type="gramStart"/>
      <w:r w:rsidRPr="000122D5">
        <w:rPr>
          <w:sz w:val="22"/>
          <w:szCs w:val="22"/>
        </w:rPr>
        <w:t>р</w:t>
      </w:r>
      <w:proofErr w:type="spellEnd"/>
      <w:proofErr w:type="gramEnd"/>
      <w:r w:rsidRPr="000122D5">
        <w:rPr>
          <w:sz w:val="22"/>
          <w:szCs w:val="22"/>
        </w:rPr>
        <w:t xml:space="preserve"> е </w:t>
      </w:r>
      <w:proofErr w:type="spellStart"/>
      <w:r w:rsidRPr="000122D5">
        <w:rPr>
          <w:sz w:val="22"/>
          <w:szCs w:val="22"/>
        </w:rPr>
        <w:t>ш</w:t>
      </w:r>
      <w:proofErr w:type="spellEnd"/>
      <w:r w:rsidRPr="000122D5">
        <w:rPr>
          <w:sz w:val="22"/>
          <w:szCs w:val="22"/>
        </w:rPr>
        <w:t xml:space="preserve"> и л о:</w:t>
      </w:r>
    </w:p>
    <w:p w:rsidR="000B35A2" w:rsidRPr="000122D5" w:rsidRDefault="000B35A2" w:rsidP="000B35A2">
      <w:pPr>
        <w:ind w:right="28" w:firstLine="900"/>
        <w:jc w:val="both"/>
        <w:rPr>
          <w:sz w:val="22"/>
          <w:szCs w:val="22"/>
        </w:rPr>
      </w:pPr>
      <w:r w:rsidRPr="000122D5">
        <w:rPr>
          <w:sz w:val="22"/>
          <w:szCs w:val="22"/>
        </w:rPr>
        <w:t xml:space="preserve">1. </w:t>
      </w:r>
      <w:proofErr w:type="gramStart"/>
      <w:r w:rsidRPr="000122D5">
        <w:rPr>
          <w:sz w:val="22"/>
          <w:szCs w:val="22"/>
        </w:rPr>
        <w:t>Внести в решение Собрания депутатов Карабашского сельского поселения Мариинско-Посадского района Чувашской Республики от 21.09.2012 года № С-31/2 «Об утверждении Положения «О налоговом регулировании в Карабашском сельском поселении Мариинско-Посадского районе Чувашской Республики в новой редакции» (с изменениями и дополнениями, внесёнными решением Собрания депутатов Карабашского сельского поселения от 12.03.2013 г. № С-39/1) следующие изменения:</w:t>
      </w:r>
      <w:proofErr w:type="gramEnd"/>
    </w:p>
    <w:p w:rsidR="000B35A2" w:rsidRPr="000122D5" w:rsidRDefault="000B35A2" w:rsidP="000B35A2">
      <w:pPr>
        <w:ind w:right="28" w:firstLine="900"/>
        <w:jc w:val="both"/>
        <w:rPr>
          <w:sz w:val="22"/>
          <w:szCs w:val="22"/>
        </w:rPr>
      </w:pPr>
      <w:r w:rsidRPr="000122D5">
        <w:rPr>
          <w:sz w:val="22"/>
          <w:szCs w:val="22"/>
        </w:rPr>
        <w:t>1) в пункте 2 статьи 13 слова «1 июля» заменить словами «5 августа»;</w:t>
      </w:r>
    </w:p>
    <w:p w:rsidR="000B35A2" w:rsidRPr="000122D5" w:rsidRDefault="000B35A2" w:rsidP="000B35A2">
      <w:pPr>
        <w:ind w:right="28" w:firstLine="900"/>
        <w:jc w:val="both"/>
        <w:rPr>
          <w:sz w:val="22"/>
          <w:szCs w:val="22"/>
        </w:rPr>
      </w:pPr>
      <w:r w:rsidRPr="000122D5">
        <w:rPr>
          <w:sz w:val="22"/>
          <w:szCs w:val="22"/>
        </w:rPr>
        <w:t>2) пункт 1 статьи 17 дополнить подпунктом 7 следующего содержания:</w:t>
      </w:r>
    </w:p>
    <w:p w:rsidR="000B35A2" w:rsidRPr="000122D5" w:rsidRDefault="000B35A2" w:rsidP="000B35A2">
      <w:pPr>
        <w:ind w:right="28" w:firstLine="900"/>
        <w:jc w:val="both"/>
        <w:rPr>
          <w:sz w:val="22"/>
          <w:szCs w:val="22"/>
        </w:rPr>
      </w:pPr>
      <w:r w:rsidRPr="000122D5">
        <w:rPr>
          <w:sz w:val="22"/>
          <w:szCs w:val="22"/>
        </w:rPr>
        <w:t>«7) включение этой организации в реестр резидентов индустриальных парков Чувашской Республики в соответствии с нормативным правовым актом Кабинета Министров Чувашской Республики</w:t>
      </w:r>
      <w:proofErr w:type="gramStart"/>
      <w:r w:rsidRPr="000122D5">
        <w:rPr>
          <w:sz w:val="22"/>
          <w:szCs w:val="22"/>
        </w:rPr>
        <w:t>.»;</w:t>
      </w:r>
      <w:proofErr w:type="gramEnd"/>
    </w:p>
    <w:p w:rsidR="000B35A2" w:rsidRPr="000122D5" w:rsidRDefault="000B35A2" w:rsidP="000B35A2">
      <w:pPr>
        <w:ind w:right="28" w:firstLine="900"/>
        <w:jc w:val="both"/>
        <w:rPr>
          <w:sz w:val="22"/>
          <w:szCs w:val="22"/>
        </w:rPr>
      </w:pPr>
      <w:r w:rsidRPr="000122D5">
        <w:rPr>
          <w:sz w:val="22"/>
          <w:szCs w:val="22"/>
        </w:rPr>
        <w:t>3) статью 20 изложить в следующей редакции:</w:t>
      </w:r>
    </w:p>
    <w:p w:rsidR="000B35A2" w:rsidRPr="000122D5" w:rsidRDefault="000B35A2" w:rsidP="000B35A2">
      <w:pPr>
        <w:ind w:right="28" w:firstLine="900"/>
        <w:jc w:val="both"/>
        <w:rPr>
          <w:sz w:val="22"/>
          <w:szCs w:val="22"/>
        </w:rPr>
      </w:pPr>
      <w:r w:rsidRPr="000122D5">
        <w:rPr>
          <w:sz w:val="22"/>
          <w:szCs w:val="22"/>
        </w:rPr>
        <w:t>«Статья 20. Ставки налога</w:t>
      </w:r>
    </w:p>
    <w:p w:rsidR="000B35A2" w:rsidRPr="000122D5" w:rsidRDefault="000B35A2" w:rsidP="000B35A2">
      <w:pPr>
        <w:ind w:right="28" w:firstLine="900"/>
        <w:jc w:val="both"/>
        <w:rPr>
          <w:sz w:val="22"/>
          <w:szCs w:val="22"/>
        </w:rPr>
      </w:pPr>
      <w:r w:rsidRPr="000122D5">
        <w:rPr>
          <w:sz w:val="22"/>
          <w:szCs w:val="22"/>
        </w:rPr>
        <w:t>Для исчисления налогов на имущество физических лиц ставки налога на строения, помещения и сооружения в зависимости от суммарной инвентаризационной стоимости объектов налогообложения, умноженной на коэффициент-дефлятор, определяемый в соответствии с частью первой Налогового кодекса Российской Федерации, устанавливаются в следующих размерах:</w:t>
      </w:r>
    </w:p>
    <w:tbl>
      <w:tblPr>
        <w:tblW w:w="0" w:type="auto"/>
        <w:tblInd w:w="1008" w:type="dxa"/>
        <w:tblLook w:val="01E0"/>
      </w:tblPr>
      <w:tblGrid>
        <w:gridCol w:w="4860"/>
        <w:gridCol w:w="412"/>
        <w:gridCol w:w="3008"/>
      </w:tblGrid>
      <w:tr w:rsidR="000B35A2" w:rsidRPr="00930780" w:rsidTr="000539BB">
        <w:tc>
          <w:tcPr>
            <w:tcW w:w="4860" w:type="dxa"/>
          </w:tcPr>
          <w:p w:rsidR="000B35A2" w:rsidRPr="00930780" w:rsidRDefault="000B35A2" w:rsidP="000539BB">
            <w:pPr>
              <w:spacing w:before="100" w:beforeAutospacing="1" w:after="100" w:afterAutospacing="1"/>
              <w:ind w:right="28"/>
              <w:rPr>
                <w:sz w:val="22"/>
                <w:szCs w:val="22"/>
              </w:rPr>
            </w:pPr>
            <w:r w:rsidRPr="00930780">
              <w:rPr>
                <w:sz w:val="22"/>
                <w:szCs w:val="22"/>
              </w:rPr>
              <w:t>До 300 000 рублей (включительно)</w:t>
            </w:r>
          </w:p>
        </w:tc>
        <w:tc>
          <w:tcPr>
            <w:tcW w:w="412" w:type="dxa"/>
          </w:tcPr>
          <w:p w:rsidR="000B35A2" w:rsidRPr="00930780" w:rsidRDefault="000B35A2" w:rsidP="000539BB">
            <w:pPr>
              <w:spacing w:before="100" w:beforeAutospacing="1" w:after="100" w:afterAutospacing="1"/>
              <w:ind w:right="28"/>
              <w:rPr>
                <w:sz w:val="22"/>
                <w:szCs w:val="22"/>
              </w:rPr>
            </w:pPr>
          </w:p>
        </w:tc>
        <w:tc>
          <w:tcPr>
            <w:tcW w:w="3008" w:type="dxa"/>
          </w:tcPr>
          <w:p w:rsidR="000B35A2" w:rsidRPr="00930780" w:rsidRDefault="000B35A2" w:rsidP="000539BB">
            <w:pPr>
              <w:spacing w:before="100" w:beforeAutospacing="1" w:after="100" w:afterAutospacing="1"/>
              <w:ind w:right="28" w:firstLine="20"/>
              <w:rPr>
                <w:sz w:val="22"/>
                <w:szCs w:val="22"/>
              </w:rPr>
            </w:pPr>
            <w:r w:rsidRPr="00930780">
              <w:rPr>
                <w:sz w:val="22"/>
                <w:szCs w:val="22"/>
              </w:rPr>
              <w:t>0,1%</w:t>
            </w:r>
          </w:p>
        </w:tc>
      </w:tr>
      <w:tr w:rsidR="000B35A2" w:rsidRPr="00930780" w:rsidTr="000539BB">
        <w:tc>
          <w:tcPr>
            <w:tcW w:w="4860" w:type="dxa"/>
          </w:tcPr>
          <w:p w:rsidR="000B35A2" w:rsidRPr="00930780" w:rsidRDefault="000B35A2" w:rsidP="000539BB">
            <w:pPr>
              <w:spacing w:before="100" w:beforeAutospacing="1" w:after="100" w:afterAutospacing="1"/>
              <w:ind w:right="28"/>
              <w:rPr>
                <w:sz w:val="22"/>
                <w:szCs w:val="22"/>
              </w:rPr>
            </w:pPr>
            <w:r w:rsidRPr="00930780">
              <w:rPr>
                <w:sz w:val="22"/>
                <w:szCs w:val="22"/>
              </w:rPr>
              <w:t>Свыше 300 000 рублей до 500 000 рублей (включительно)</w:t>
            </w:r>
          </w:p>
        </w:tc>
        <w:tc>
          <w:tcPr>
            <w:tcW w:w="412" w:type="dxa"/>
          </w:tcPr>
          <w:p w:rsidR="000B35A2" w:rsidRPr="00930780" w:rsidRDefault="000B35A2" w:rsidP="000539BB">
            <w:pPr>
              <w:spacing w:before="100" w:beforeAutospacing="1" w:after="100" w:afterAutospacing="1"/>
              <w:ind w:right="28"/>
              <w:rPr>
                <w:sz w:val="22"/>
                <w:szCs w:val="22"/>
              </w:rPr>
            </w:pPr>
          </w:p>
        </w:tc>
        <w:tc>
          <w:tcPr>
            <w:tcW w:w="3008" w:type="dxa"/>
          </w:tcPr>
          <w:p w:rsidR="000B35A2" w:rsidRPr="00930780" w:rsidRDefault="000B35A2" w:rsidP="000539BB">
            <w:pPr>
              <w:spacing w:before="100" w:beforeAutospacing="1" w:after="100" w:afterAutospacing="1"/>
              <w:ind w:right="28"/>
              <w:rPr>
                <w:sz w:val="22"/>
                <w:szCs w:val="22"/>
              </w:rPr>
            </w:pPr>
            <w:r w:rsidRPr="00930780">
              <w:rPr>
                <w:sz w:val="22"/>
                <w:szCs w:val="22"/>
              </w:rPr>
              <w:t>0,2%</w:t>
            </w:r>
          </w:p>
        </w:tc>
      </w:tr>
      <w:tr w:rsidR="000B35A2" w:rsidRPr="00930780" w:rsidTr="000539BB">
        <w:tc>
          <w:tcPr>
            <w:tcW w:w="4860" w:type="dxa"/>
          </w:tcPr>
          <w:p w:rsidR="000B35A2" w:rsidRPr="00930780" w:rsidRDefault="000B35A2" w:rsidP="000539BB">
            <w:pPr>
              <w:spacing w:before="100" w:beforeAutospacing="1" w:after="100" w:afterAutospacing="1"/>
              <w:ind w:right="28"/>
              <w:rPr>
                <w:sz w:val="22"/>
                <w:szCs w:val="22"/>
              </w:rPr>
            </w:pPr>
            <w:r w:rsidRPr="00930780">
              <w:rPr>
                <w:sz w:val="22"/>
                <w:szCs w:val="22"/>
              </w:rPr>
              <w:t>Свыше 500 000 рублей</w:t>
            </w:r>
          </w:p>
        </w:tc>
        <w:tc>
          <w:tcPr>
            <w:tcW w:w="412" w:type="dxa"/>
          </w:tcPr>
          <w:p w:rsidR="000B35A2" w:rsidRPr="00930780" w:rsidRDefault="000B35A2" w:rsidP="000539BB">
            <w:pPr>
              <w:spacing w:before="100" w:beforeAutospacing="1" w:after="100" w:afterAutospacing="1"/>
              <w:ind w:right="28"/>
              <w:rPr>
                <w:sz w:val="22"/>
                <w:szCs w:val="22"/>
              </w:rPr>
            </w:pPr>
          </w:p>
        </w:tc>
        <w:tc>
          <w:tcPr>
            <w:tcW w:w="3008" w:type="dxa"/>
          </w:tcPr>
          <w:p w:rsidR="000B35A2" w:rsidRPr="00930780" w:rsidRDefault="000B35A2" w:rsidP="000539BB">
            <w:pPr>
              <w:spacing w:before="100" w:beforeAutospacing="1" w:after="100" w:afterAutospacing="1"/>
              <w:ind w:right="28" w:firstLine="20"/>
              <w:rPr>
                <w:sz w:val="22"/>
                <w:szCs w:val="22"/>
              </w:rPr>
            </w:pPr>
            <w:r w:rsidRPr="00930780">
              <w:rPr>
                <w:sz w:val="22"/>
                <w:szCs w:val="22"/>
              </w:rPr>
              <w:t>1,0%.».</w:t>
            </w:r>
          </w:p>
        </w:tc>
      </w:tr>
    </w:tbl>
    <w:p w:rsidR="000B35A2" w:rsidRPr="000122D5" w:rsidRDefault="000B35A2" w:rsidP="000B35A2">
      <w:pPr>
        <w:ind w:right="28" w:firstLine="900"/>
        <w:jc w:val="both"/>
        <w:rPr>
          <w:sz w:val="22"/>
          <w:szCs w:val="22"/>
        </w:rPr>
      </w:pPr>
      <w:r w:rsidRPr="000122D5">
        <w:rPr>
          <w:sz w:val="22"/>
          <w:szCs w:val="22"/>
        </w:rPr>
        <w:t>2. Настоящее решение вступает в силу с 1 января 2014 года, но не ранее чем по истечении одного месяца со  дня его официального опубликования и не ранее первого числа очередного налогового периода по соответствующему налогу.</w:t>
      </w:r>
    </w:p>
    <w:p w:rsidR="000B35A2" w:rsidRPr="000122D5" w:rsidRDefault="000B35A2" w:rsidP="000B35A2">
      <w:pPr>
        <w:ind w:right="28"/>
        <w:jc w:val="both"/>
        <w:rPr>
          <w:sz w:val="22"/>
          <w:szCs w:val="22"/>
        </w:rPr>
      </w:pPr>
    </w:p>
    <w:p w:rsidR="000B35A2" w:rsidRDefault="000B35A2" w:rsidP="000B35A2">
      <w:pPr>
        <w:ind w:right="28"/>
        <w:jc w:val="both"/>
        <w:rPr>
          <w:sz w:val="22"/>
          <w:szCs w:val="22"/>
        </w:rPr>
      </w:pPr>
      <w:r w:rsidRPr="000122D5">
        <w:rPr>
          <w:sz w:val="22"/>
          <w:szCs w:val="22"/>
        </w:rPr>
        <w:t>Глава Карабашского сельского</w:t>
      </w:r>
      <w:r>
        <w:rPr>
          <w:sz w:val="22"/>
          <w:szCs w:val="22"/>
        </w:rPr>
        <w:t xml:space="preserve"> поселения                                                          Н.М.Алаев</w:t>
      </w:r>
    </w:p>
    <w:p w:rsidR="000B35A2" w:rsidRDefault="000B35A2" w:rsidP="000B35A2">
      <w:pPr>
        <w:ind w:right="28"/>
        <w:jc w:val="both"/>
        <w:rPr>
          <w:sz w:val="22"/>
          <w:szCs w:val="22"/>
        </w:rPr>
      </w:pPr>
    </w:p>
    <w:p w:rsidR="000B35A2" w:rsidRDefault="000B35A2" w:rsidP="000B35A2">
      <w:pPr>
        <w:ind w:right="28"/>
        <w:jc w:val="both"/>
        <w:rPr>
          <w:sz w:val="22"/>
          <w:szCs w:val="22"/>
        </w:rPr>
      </w:pPr>
    </w:p>
    <w:p w:rsidR="000B35A2" w:rsidRDefault="000B35A2" w:rsidP="000B35A2">
      <w:pPr>
        <w:ind w:right="28"/>
        <w:jc w:val="both"/>
        <w:rPr>
          <w:sz w:val="22"/>
          <w:szCs w:val="22"/>
        </w:rPr>
      </w:pPr>
    </w:p>
    <w:p w:rsidR="000B35A2" w:rsidRDefault="000B35A2" w:rsidP="000B35A2">
      <w:pPr>
        <w:ind w:right="28"/>
        <w:jc w:val="both"/>
        <w:rPr>
          <w:sz w:val="22"/>
          <w:szCs w:val="22"/>
        </w:rPr>
      </w:pPr>
    </w:p>
    <w:p w:rsidR="002947A7" w:rsidRDefault="002947A7"/>
    <w:sectPr w:rsidR="002947A7" w:rsidSect="00294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0B35A2"/>
    <w:rsid w:val="000B35A2"/>
    <w:rsid w:val="00294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B35A2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35A2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0B35A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0B35A2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2021-11-17T09:08:00Z</dcterms:created>
  <dcterms:modified xsi:type="dcterms:W3CDTF">2021-11-17T09:09:00Z</dcterms:modified>
</cp:coreProperties>
</file>