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85" w:rsidRPr="00CB7059" w:rsidRDefault="00FC01A1" w:rsidP="00455E85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CB7059">
        <w:rPr>
          <w:b/>
          <w:bCs/>
          <w:color w:val="333333"/>
          <w:sz w:val="27"/>
          <w:szCs w:val="27"/>
        </w:rPr>
        <w:tab/>
      </w:r>
      <w:r w:rsidR="00455E85" w:rsidRPr="00CB7059">
        <w:rPr>
          <w:b/>
          <w:sz w:val="27"/>
          <w:szCs w:val="27"/>
        </w:rPr>
        <w:t>Могу</w:t>
      </w:r>
      <w:r w:rsidR="00CB7059" w:rsidRPr="00CB7059">
        <w:rPr>
          <w:b/>
          <w:sz w:val="27"/>
          <w:szCs w:val="27"/>
        </w:rPr>
        <w:t>т</w:t>
      </w:r>
      <w:r w:rsidR="002E3F4B">
        <w:rPr>
          <w:b/>
          <w:sz w:val="27"/>
          <w:szCs w:val="27"/>
        </w:rPr>
        <w:t xml:space="preserve"> ли</w:t>
      </w:r>
      <w:r w:rsidR="00455E85" w:rsidRPr="00CB7059">
        <w:rPr>
          <w:b/>
          <w:sz w:val="27"/>
          <w:szCs w:val="27"/>
        </w:rPr>
        <w:t xml:space="preserve"> </w:t>
      </w:r>
      <w:r w:rsidR="00CB7059" w:rsidRPr="00CB7059">
        <w:rPr>
          <w:b/>
          <w:sz w:val="27"/>
          <w:szCs w:val="27"/>
        </w:rPr>
        <w:t>не принять ребенка в детский сад из-за отсутствия</w:t>
      </w:r>
      <w:r w:rsidR="00455E85" w:rsidRPr="00CB7059">
        <w:rPr>
          <w:b/>
          <w:sz w:val="27"/>
          <w:szCs w:val="27"/>
        </w:rPr>
        <w:t xml:space="preserve"> прививки «Манту»?</w:t>
      </w:r>
    </w:p>
    <w:p w:rsidR="00455E85" w:rsidRPr="00CB7059" w:rsidRDefault="00455E85" w:rsidP="00455E8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55E85" w:rsidRPr="00CB7059" w:rsidRDefault="00455E85" w:rsidP="00455E8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7059">
        <w:rPr>
          <w:sz w:val="27"/>
          <w:szCs w:val="27"/>
        </w:rPr>
        <w:t>Согласно ч. 5 ст. 19 Федерального закона от 21.11.2011 № 323 ФЗ «Об основах охраны здоровья граждан в Российской Федерации» пациент имеет право на отказ от медицинского вмешательства.</w:t>
      </w:r>
    </w:p>
    <w:p w:rsidR="00455E85" w:rsidRPr="00CB7059" w:rsidRDefault="00455E85" w:rsidP="00455E8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7059">
        <w:rPr>
          <w:sz w:val="27"/>
          <w:szCs w:val="27"/>
        </w:rPr>
        <w:t xml:space="preserve">В соответствии с ч. 1 ст. 5 Федерального закона от 17.09.1998 № 157 «Об иммунопрофилактике инфекционных болезней» (далее – Федеральный закон «Об иммунопрофилактике инфекционных болезней») граждане при осуществлении иммунопрофилактики имеют право на отказ от профилактических прививок. </w:t>
      </w:r>
    </w:p>
    <w:p w:rsidR="00455E85" w:rsidRPr="00CB7059" w:rsidRDefault="00455E85" w:rsidP="00455E8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7059">
        <w:rPr>
          <w:sz w:val="27"/>
          <w:szCs w:val="27"/>
        </w:rPr>
        <w:t>В силу ч. 2 ст. 11 Федерального закона «Об иммунопрофилактике инфекционных болезней» профилактические прививки проводятся с согласия граждан, родителей или законных представителей несовершеннолетних. По смыслу указанных норм граждане в добровольном порядке обладают правом отказа от проведения профилактических прививок в отношении своего ребенка. Принудительные меры к применению профилактических прививок законом не предусмотрено.</w:t>
      </w:r>
    </w:p>
    <w:p w:rsidR="00455E85" w:rsidRPr="00CB7059" w:rsidRDefault="00455E85" w:rsidP="00455E8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7059">
        <w:rPr>
          <w:sz w:val="27"/>
          <w:szCs w:val="27"/>
        </w:rPr>
        <w:t>Исключение из общих правил составляют случаи возникновения массовых инфекционных заболеваний или при угрозе возникновения эпидемий. Обязательным является только подтверждение отказа в письменной форме.</w:t>
      </w:r>
    </w:p>
    <w:p w:rsidR="00455E85" w:rsidRPr="00CB7059" w:rsidRDefault="00455E85" w:rsidP="00455E8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7059">
        <w:rPr>
          <w:sz w:val="27"/>
          <w:szCs w:val="27"/>
        </w:rPr>
        <w:t>Федеральным законом от 18.06.2001 № 77-ФЗ «О предупреждении распространении туберкулеза в Российской Федерации» также предусмотрено оказание противотуберкулезной помощи только при наличии согласия граждан.</w:t>
      </w:r>
    </w:p>
    <w:p w:rsidR="00CB7059" w:rsidRPr="00CB7059" w:rsidRDefault="00455E85" w:rsidP="00CB705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7059">
        <w:rPr>
          <w:sz w:val="27"/>
          <w:szCs w:val="27"/>
        </w:rPr>
        <w:t>Ограничения, предусмотренные санитарно-эпидемиологическими правилами СП 3.1.2.3114-13 «Профилактика туберкулеза» (далее – Правила), утвержденные постановлением Главного государственного санитарного врача Российской Федерации от 22.10.2013 № 60, касаются тех детей, в отношении которых имеются подозре</w:t>
      </w:r>
      <w:r w:rsidR="00CB7059" w:rsidRPr="00CB7059">
        <w:rPr>
          <w:sz w:val="27"/>
          <w:szCs w:val="27"/>
        </w:rPr>
        <w:t>ния в заболевании туберкулезом.</w:t>
      </w:r>
    </w:p>
    <w:p w:rsidR="00CB7059" w:rsidRPr="00CB7059" w:rsidRDefault="00455E85" w:rsidP="00CB705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7059">
        <w:rPr>
          <w:sz w:val="27"/>
          <w:szCs w:val="27"/>
        </w:rPr>
        <w:t>Разделом V названных Правил регулируется механизм организации раннего</w:t>
      </w:r>
      <w:r w:rsidR="00CB7059" w:rsidRPr="00CB7059">
        <w:rPr>
          <w:sz w:val="27"/>
          <w:szCs w:val="27"/>
        </w:rPr>
        <w:t xml:space="preserve"> выявления туберкулеза у детей.</w:t>
      </w:r>
    </w:p>
    <w:p w:rsidR="00CB7059" w:rsidRPr="00CB7059" w:rsidRDefault="00455E85" w:rsidP="00CB705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7059">
        <w:rPr>
          <w:sz w:val="27"/>
          <w:szCs w:val="27"/>
        </w:rPr>
        <w:t xml:space="preserve">Так, Правилами предусмотрено, что дети, </w:t>
      </w:r>
      <w:proofErr w:type="spellStart"/>
      <w:r w:rsidRPr="00CB7059">
        <w:rPr>
          <w:sz w:val="27"/>
          <w:szCs w:val="27"/>
        </w:rPr>
        <w:t>тубиркулинодиагностика</w:t>
      </w:r>
      <w:proofErr w:type="spellEnd"/>
      <w:r w:rsidRPr="00CB7059">
        <w:rPr>
          <w:sz w:val="27"/>
          <w:szCs w:val="27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455E85" w:rsidRPr="00CB7059" w:rsidRDefault="00455E85" w:rsidP="00CB705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7059">
        <w:rPr>
          <w:sz w:val="27"/>
          <w:szCs w:val="27"/>
        </w:rPr>
        <w:t xml:space="preserve">Таким образом, с учетом принципа добровольности получения противотуберкулезной помощи, при отсутствии контакта с туберкулезным больным, родители или иные законные представители ребенка вправе отказаться от </w:t>
      </w:r>
      <w:proofErr w:type="spellStart"/>
      <w:r w:rsidRPr="00CB7059">
        <w:rPr>
          <w:sz w:val="27"/>
          <w:szCs w:val="27"/>
        </w:rPr>
        <w:t>туберкулинодиагностики</w:t>
      </w:r>
      <w:proofErr w:type="spellEnd"/>
      <w:r w:rsidRPr="00CB7059">
        <w:rPr>
          <w:sz w:val="27"/>
          <w:szCs w:val="27"/>
        </w:rPr>
        <w:t>, что не должно повлечь ограничения права ребенка на посещение образовательного учреждения, при условии представления на таких детей заключения врача-фтизиатра об отсутствии у ребенка заболевания туберкулезом.</w:t>
      </w:r>
    </w:p>
    <w:p w:rsidR="002B4929" w:rsidRPr="00CB7059" w:rsidRDefault="002B4929" w:rsidP="00AB6AE9">
      <w:pPr>
        <w:spacing w:line="240" w:lineRule="exact"/>
        <w:rPr>
          <w:sz w:val="27"/>
          <w:szCs w:val="27"/>
        </w:rPr>
      </w:pPr>
      <w:bookmarkStart w:id="0" w:name="_GoBack"/>
      <w:bookmarkEnd w:id="0"/>
    </w:p>
    <w:sectPr w:rsidR="002B4929" w:rsidRPr="00CB7059" w:rsidSect="005522C5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9"/>
    <w:rsid w:val="000052C1"/>
    <w:rsid w:val="000227AE"/>
    <w:rsid w:val="00034417"/>
    <w:rsid w:val="00044F0F"/>
    <w:rsid w:val="000661BB"/>
    <w:rsid w:val="00073D49"/>
    <w:rsid w:val="00081982"/>
    <w:rsid w:val="00082193"/>
    <w:rsid w:val="0009701F"/>
    <w:rsid w:val="000A1FE4"/>
    <w:rsid w:val="000C5F32"/>
    <w:rsid w:val="0010721B"/>
    <w:rsid w:val="00112958"/>
    <w:rsid w:val="00112CBB"/>
    <w:rsid w:val="00193EEA"/>
    <w:rsid w:val="00216123"/>
    <w:rsid w:val="00250867"/>
    <w:rsid w:val="00284FA6"/>
    <w:rsid w:val="002A6BD4"/>
    <w:rsid w:val="002B4929"/>
    <w:rsid w:val="002B6194"/>
    <w:rsid w:val="002C1652"/>
    <w:rsid w:val="002C1762"/>
    <w:rsid w:val="002D0FB4"/>
    <w:rsid w:val="002E3F4B"/>
    <w:rsid w:val="00320A64"/>
    <w:rsid w:val="00325FEC"/>
    <w:rsid w:val="00337E3C"/>
    <w:rsid w:val="00347959"/>
    <w:rsid w:val="003818A8"/>
    <w:rsid w:val="003942F9"/>
    <w:rsid w:val="003A229C"/>
    <w:rsid w:val="003B6AC5"/>
    <w:rsid w:val="003E5F1A"/>
    <w:rsid w:val="003E7ACC"/>
    <w:rsid w:val="004143B7"/>
    <w:rsid w:val="00414A54"/>
    <w:rsid w:val="0044223E"/>
    <w:rsid w:val="00443C27"/>
    <w:rsid w:val="00455E85"/>
    <w:rsid w:val="00463808"/>
    <w:rsid w:val="00477F9E"/>
    <w:rsid w:val="0048623D"/>
    <w:rsid w:val="004A68EF"/>
    <w:rsid w:val="004C072A"/>
    <w:rsid w:val="004F18E0"/>
    <w:rsid w:val="004F2356"/>
    <w:rsid w:val="004F6559"/>
    <w:rsid w:val="0050067D"/>
    <w:rsid w:val="00504F0A"/>
    <w:rsid w:val="005522C5"/>
    <w:rsid w:val="00560730"/>
    <w:rsid w:val="0056526E"/>
    <w:rsid w:val="00600810"/>
    <w:rsid w:val="006146A3"/>
    <w:rsid w:val="006212E5"/>
    <w:rsid w:val="0063325C"/>
    <w:rsid w:val="00657C05"/>
    <w:rsid w:val="00667F4E"/>
    <w:rsid w:val="0069135F"/>
    <w:rsid w:val="00693C60"/>
    <w:rsid w:val="00697B2E"/>
    <w:rsid w:val="006D2EE7"/>
    <w:rsid w:val="006F0DC0"/>
    <w:rsid w:val="006F7BCF"/>
    <w:rsid w:val="00730007"/>
    <w:rsid w:val="007425E6"/>
    <w:rsid w:val="00746D79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545B3"/>
    <w:rsid w:val="008716AA"/>
    <w:rsid w:val="0088317B"/>
    <w:rsid w:val="00887BA1"/>
    <w:rsid w:val="008F37A4"/>
    <w:rsid w:val="008F5204"/>
    <w:rsid w:val="00907084"/>
    <w:rsid w:val="00920283"/>
    <w:rsid w:val="00922BE3"/>
    <w:rsid w:val="00922E9F"/>
    <w:rsid w:val="009341A6"/>
    <w:rsid w:val="009678A4"/>
    <w:rsid w:val="0097358C"/>
    <w:rsid w:val="009A176A"/>
    <w:rsid w:val="009B2B3D"/>
    <w:rsid w:val="009E1E13"/>
    <w:rsid w:val="009E5871"/>
    <w:rsid w:val="009F2A57"/>
    <w:rsid w:val="00A207C8"/>
    <w:rsid w:val="00A44200"/>
    <w:rsid w:val="00A46A52"/>
    <w:rsid w:val="00A53C31"/>
    <w:rsid w:val="00A568B3"/>
    <w:rsid w:val="00A77E0A"/>
    <w:rsid w:val="00AB6AE9"/>
    <w:rsid w:val="00AC291D"/>
    <w:rsid w:val="00AE68D4"/>
    <w:rsid w:val="00B165E9"/>
    <w:rsid w:val="00B27C7B"/>
    <w:rsid w:val="00B36F6B"/>
    <w:rsid w:val="00B90302"/>
    <w:rsid w:val="00BA5EB2"/>
    <w:rsid w:val="00BC3970"/>
    <w:rsid w:val="00BF3D3B"/>
    <w:rsid w:val="00C07182"/>
    <w:rsid w:val="00C0782E"/>
    <w:rsid w:val="00C16B0F"/>
    <w:rsid w:val="00C37F48"/>
    <w:rsid w:val="00C574F2"/>
    <w:rsid w:val="00C577CF"/>
    <w:rsid w:val="00C60C30"/>
    <w:rsid w:val="00CB7059"/>
    <w:rsid w:val="00CF608A"/>
    <w:rsid w:val="00D21B80"/>
    <w:rsid w:val="00D342C7"/>
    <w:rsid w:val="00D35E41"/>
    <w:rsid w:val="00D50903"/>
    <w:rsid w:val="00D6061C"/>
    <w:rsid w:val="00D72C17"/>
    <w:rsid w:val="00D8190B"/>
    <w:rsid w:val="00DA3243"/>
    <w:rsid w:val="00E0109C"/>
    <w:rsid w:val="00E01BF6"/>
    <w:rsid w:val="00E36782"/>
    <w:rsid w:val="00E51BCC"/>
    <w:rsid w:val="00E60FFA"/>
    <w:rsid w:val="00E93E8A"/>
    <w:rsid w:val="00F16C87"/>
    <w:rsid w:val="00F6773B"/>
    <w:rsid w:val="00F93FFE"/>
    <w:rsid w:val="00FA445D"/>
    <w:rsid w:val="00FC01A1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A4A9"/>
  <w15:docId w15:val="{7FD2254A-A299-4766-B1B2-826B1E7F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82193"/>
  </w:style>
  <w:style w:type="character" w:customStyle="1" w:styleId="feeds-pagenavigationtooltip">
    <w:name w:val="feeds-page__navigation_tooltip"/>
    <w:basedOn w:val="a0"/>
    <w:rsid w:val="00082193"/>
  </w:style>
  <w:style w:type="paragraph" w:styleId="a3">
    <w:name w:val="Normal (Web)"/>
    <w:basedOn w:val="a"/>
    <w:uiPriority w:val="99"/>
    <w:semiHidden/>
    <w:unhideWhenUsed/>
    <w:rsid w:val="0008219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C01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F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F4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7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1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Купкенов Ришат Решитович</cp:lastModifiedBy>
  <cp:revision>10</cp:revision>
  <cp:lastPrinted>2021-09-06T08:56:00Z</cp:lastPrinted>
  <dcterms:created xsi:type="dcterms:W3CDTF">2021-08-09T05:14:00Z</dcterms:created>
  <dcterms:modified xsi:type="dcterms:W3CDTF">2021-09-13T08:28:00Z</dcterms:modified>
</cp:coreProperties>
</file>