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7"/>
        <w:gridCol w:w="1225"/>
        <w:gridCol w:w="4184"/>
      </w:tblGrid>
      <w:tr w:rsidR="00E51EC8" w:rsidRPr="000A45FC" w:rsidTr="00E51EC8">
        <w:trPr>
          <w:cantSplit/>
          <w:trHeight w:val="362"/>
        </w:trPr>
        <w:tc>
          <w:tcPr>
            <w:tcW w:w="4337" w:type="dxa"/>
          </w:tcPr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lang w:val="en-US"/>
              </w:rPr>
            </w:pP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2526665</wp:posOffset>
                  </wp:positionH>
                  <wp:positionV relativeFrom="paragraph">
                    <wp:posOffset>-55880</wp:posOffset>
                  </wp:positionV>
                  <wp:extent cx="718820" cy="715645"/>
                  <wp:effectExtent l="19050" t="0" r="508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23FA">
              <w:rPr>
                <w:rFonts w:eastAsiaTheme="minorEastAsia"/>
                <w:b w:val="0"/>
                <w:noProof/>
                <w:color w:val="000000"/>
                <w:sz w:val="24"/>
              </w:rPr>
              <w:t xml:space="preserve">   </w:t>
            </w: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ЧÃВАШ РЕСПУБЛИКИ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  <w:r w:rsidRPr="000A45FC">
              <w:rPr>
                <w:rFonts w:eastAsiaTheme="minorEastAsia"/>
                <w:b w:val="0"/>
                <w:sz w:val="24"/>
              </w:rPr>
              <w:t>КУСЛАВККА РАЙОНЕН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noProof/>
                <w:color w:val="000000"/>
                <w:sz w:val="24"/>
              </w:rPr>
            </w:pPr>
          </w:p>
        </w:tc>
        <w:tc>
          <w:tcPr>
            <w:tcW w:w="1225" w:type="dxa"/>
            <w:vMerge w:val="restart"/>
            <w:hideMark/>
          </w:tcPr>
          <w:p w:rsidR="00E51EC8" w:rsidRPr="000A45FC" w:rsidRDefault="00E51EC8" w:rsidP="000A45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:rsidR="00E51EC8" w:rsidRPr="000A45FC" w:rsidRDefault="00E51EC8" w:rsidP="000A45FC">
            <w:pPr>
              <w:pStyle w:val="2"/>
              <w:spacing w:line="276" w:lineRule="auto"/>
              <w:rPr>
                <w:rStyle w:val="a3"/>
                <w:rFonts w:eastAsiaTheme="minorEastAsia"/>
                <w:bCs/>
                <w:noProof/>
                <w:color w:val="000000"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ЧУВАШСКАЯ РЕСПУБЛИКА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КОЗЛОВСКИЙ РАЙОН</w:t>
            </w:r>
          </w:p>
        </w:tc>
      </w:tr>
      <w:tr w:rsidR="00E51EC8" w:rsidRPr="000A45FC" w:rsidTr="00E51EC8">
        <w:trPr>
          <w:cantSplit/>
          <w:trHeight w:val="1725"/>
        </w:trPr>
        <w:tc>
          <w:tcPr>
            <w:tcW w:w="4337" w:type="dxa"/>
          </w:tcPr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  <w:r w:rsidRPr="000A45FC">
              <w:rPr>
                <w:rFonts w:eastAsiaTheme="minorEastAsia"/>
                <w:b w:val="0"/>
                <w:sz w:val="24"/>
              </w:rPr>
              <w:t>КУСНАР   ЯЛ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Style w:val="a3"/>
                <w:rFonts w:eastAsiaTheme="minorEastAsia"/>
                <w:bCs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sz w:val="24"/>
              </w:rPr>
              <w:t>ПОСЕЛЕНИЙЕН ДЕПУТАТСЕН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noProof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sz w:val="24"/>
              </w:rPr>
              <w:t>ПУХÃВĔ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  <w:r w:rsidRPr="000A45FC">
              <w:rPr>
                <w:rFonts w:eastAsiaTheme="minorEastAsia"/>
                <w:b w:val="0"/>
                <w:sz w:val="24"/>
              </w:rPr>
              <w:t>ЙЫШÃНУ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</w:p>
          <w:p w:rsidR="00E51EC8" w:rsidRPr="000A45FC" w:rsidRDefault="00AF23FA" w:rsidP="000A45FC">
            <w:pPr>
              <w:pStyle w:val="2"/>
              <w:spacing w:line="276" w:lineRule="auto"/>
              <w:rPr>
                <w:rFonts w:eastAsiaTheme="minorEastAsia"/>
                <w:b w:val="0"/>
                <w:noProof/>
                <w:color w:val="000000"/>
                <w:sz w:val="24"/>
              </w:rPr>
            </w:pPr>
            <w:r>
              <w:rPr>
                <w:rFonts w:eastAsiaTheme="minorEastAsia"/>
                <w:b w:val="0"/>
                <w:noProof/>
                <w:color w:val="000000"/>
                <w:sz w:val="24"/>
              </w:rPr>
              <w:t>20</w:t>
            </w:r>
            <w:r w:rsidR="00E51EC8"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.01.2020 г.   № 139/1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noProof/>
                <w:color w:val="000000"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Куснар яле</w:t>
            </w:r>
          </w:p>
        </w:tc>
        <w:tc>
          <w:tcPr>
            <w:tcW w:w="0" w:type="auto"/>
            <w:vMerge/>
            <w:vAlign w:val="center"/>
            <w:hideMark/>
          </w:tcPr>
          <w:p w:rsidR="00E51EC8" w:rsidRPr="000A45FC" w:rsidRDefault="00E51EC8" w:rsidP="000A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noProof/>
                <w:color w:val="000000"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СОБРАНИЕ ДЕПУТАТОВ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noProof/>
                <w:color w:val="000000"/>
                <w:sz w:val="24"/>
              </w:rPr>
            </w:pPr>
            <w:r w:rsidRPr="000A45FC">
              <w:rPr>
                <w:rFonts w:eastAsiaTheme="minorEastAsia"/>
                <w:b w:val="0"/>
                <w:noProof/>
                <w:color w:val="000000"/>
                <w:sz w:val="24"/>
              </w:rPr>
              <w:t>БАЙГУЛОВСКОГО  СЕЛЬСКОГО ПОСЕЛЕНИЯ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  <w:r w:rsidRPr="000A45FC">
              <w:rPr>
                <w:rFonts w:eastAsiaTheme="minorEastAsia"/>
                <w:b w:val="0"/>
                <w:sz w:val="24"/>
              </w:rPr>
              <w:t>РЕШЕНИЕ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</w:p>
          <w:p w:rsidR="00E51EC8" w:rsidRPr="000A45FC" w:rsidRDefault="00C815DB" w:rsidP="000A45FC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</w:rPr>
            </w:pPr>
            <w:proofErr w:type="gramStart"/>
            <w:r>
              <w:rPr>
                <w:rFonts w:eastAsiaTheme="minorEastAsia"/>
                <w:b w:val="0"/>
                <w:sz w:val="24"/>
              </w:rPr>
              <w:t>от</w:t>
            </w:r>
            <w:r w:rsidR="00AF23FA">
              <w:rPr>
                <w:rFonts w:eastAsiaTheme="minorEastAsia"/>
                <w:b w:val="0"/>
                <w:sz w:val="24"/>
              </w:rPr>
              <w:t xml:space="preserve">  20</w:t>
            </w:r>
            <w:r w:rsidR="00E51EC8" w:rsidRPr="000A45FC">
              <w:rPr>
                <w:rFonts w:eastAsiaTheme="minorEastAsia"/>
                <w:b w:val="0"/>
                <w:sz w:val="24"/>
              </w:rPr>
              <w:t>.01.2020</w:t>
            </w:r>
            <w:proofErr w:type="gramEnd"/>
            <w:r w:rsidR="00E51EC8" w:rsidRPr="000A45FC">
              <w:rPr>
                <w:rFonts w:eastAsiaTheme="minorEastAsia"/>
                <w:b w:val="0"/>
                <w:sz w:val="24"/>
              </w:rPr>
              <w:t xml:space="preserve"> г.    №  139/1</w:t>
            </w:r>
          </w:p>
          <w:p w:rsidR="00E51EC8" w:rsidRPr="000A45FC" w:rsidRDefault="00E51EC8" w:rsidP="000A45FC">
            <w:pPr>
              <w:pStyle w:val="2"/>
              <w:spacing w:line="276" w:lineRule="auto"/>
              <w:rPr>
                <w:rFonts w:eastAsiaTheme="minorEastAsia"/>
                <w:b w:val="0"/>
                <w:noProof/>
                <w:color w:val="000000"/>
                <w:sz w:val="24"/>
              </w:rPr>
            </w:pPr>
            <w:r w:rsidRPr="000A45FC">
              <w:rPr>
                <w:rFonts w:eastAsiaTheme="minorEastAsia"/>
                <w:b w:val="0"/>
                <w:sz w:val="24"/>
              </w:rPr>
              <w:t>с. Байгулово</w:t>
            </w:r>
          </w:p>
        </w:tc>
      </w:tr>
    </w:tbl>
    <w:p w:rsidR="00E51EC8" w:rsidRPr="000A45FC" w:rsidRDefault="00E51EC8" w:rsidP="000A4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E51EC8" w:rsidP="000A45FC">
      <w:pPr>
        <w:tabs>
          <w:tab w:val="left" w:pos="39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ab/>
        <w:t>51 заседание   3 созыва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Об утверждении Положения о налоговых ль</w:t>
      </w:r>
      <w:bookmarkStart w:id="0" w:name="_GoBack"/>
      <w:bookmarkEnd w:id="0"/>
      <w:r w:rsidRPr="000A45FC">
        <w:rPr>
          <w:rFonts w:ascii="Times New Roman" w:hAnsi="Times New Roman" w:cs="Times New Roman"/>
          <w:sz w:val="24"/>
          <w:szCs w:val="24"/>
        </w:rPr>
        <w:t>готах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по местным налогам юридическим лицам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 предпринимателям, осуществляющим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инвестиционную деятельность на территории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Байгуловского сельского поселения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РФ от 06.10.2003 г. № 131-Ф3 с изменениями, внесенными Федеральным законом от 27.05.2014 г., в соответствии с Федеральным </w:t>
      </w:r>
      <w:hyperlink r:id="rId5" w:history="1">
        <w:r w:rsidRPr="000A45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0A45FC">
        <w:rPr>
          <w:rFonts w:ascii="Times New Roman" w:hAnsi="Times New Roman" w:cs="Times New Roman"/>
          <w:sz w:val="24"/>
          <w:szCs w:val="24"/>
        </w:rPr>
        <w:t xml:space="preserve"> № 39-ФЗ от 25 февраля 1999года "Об инвестиционной деятельности в Российской Федерации, осуществляемой в форме капитальных вложений», с Федеральным законом № 131-ФЗ от 06 октября 2003года "Об общих принципах организации местного самоуправления в Российской  Федерации",  Налоговым Кодексом Российской Федерации и Уставом Байгуловского сельского поселения Козловского района Чувашской Республики и в целях повышения инвестиционной привлекательности Байгуловского сельского поселения Козловского района Чувашской Республики,  рассмотрев представление  Прокуратуры Козловского района Чувашской Республики от 24.12.2019 года № 03-05-2019 об устранении нарушений законодательства о налогах и сборах, об осуществлении инвестиционной деятельности,  Собрание депутатов Байгуловского сельского поселения Козловского района Чувашской Республики 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решило: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1. Утвердить прилагаемое Положение о налоговых льготах по местным налогам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5FC">
        <w:rPr>
          <w:rFonts w:ascii="Times New Roman" w:hAnsi="Times New Roman" w:cs="Times New Roman"/>
          <w:sz w:val="24"/>
          <w:szCs w:val="24"/>
        </w:rPr>
        <w:t>юридическим лицам и предпринимателям, осуществляющим инвестиционную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5FC">
        <w:rPr>
          <w:rFonts w:ascii="Times New Roman" w:hAnsi="Times New Roman" w:cs="Times New Roman"/>
          <w:sz w:val="24"/>
          <w:szCs w:val="24"/>
        </w:rPr>
        <w:t>деятельность на территории Байгуловского сельского поселения Козловского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5FC">
        <w:rPr>
          <w:rFonts w:ascii="Times New Roman" w:hAnsi="Times New Roman" w:cs="Times New Roman"/>
          <w:sz w:val="24"/>
          <w:szCs w:val="24"/>
        </w:rPr>
        <w:t>района Чувашской Республики.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«Козловский                вестник"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опубликования.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Байгуловского сельского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поселения Козловского района                                                              А.А.Михайло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Утверждено решением Собрания депутатов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 Байгуловского сельского поселения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 Козловского района Чувашской Республики</w:t>
      </w:r>
    </w:p>
    <w:p w:rsidR="000A45FC" w:rsidRPr="000A45FC" w:rsidRDefault="00AF23FA" w:rsidP="000A45F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45FC">
        <w:rPr>
          <w:rFonts w:ascii="Times New Roman" w:hAnsi="Times New Roman" w:cs="Times New Roman"/>
          <w:sz w:val="24"/>
          <w:szCs w:val="24"/>
        </w:rPr>
        <w:t>.01</w:t>
      </w:r>
      <w:r w:rsidR="000A45FC" w:rsidRPr="000A45FC">
        <w:rPr>
          <w:rFonts w:ascii="Times New Roman" w:hAnsi="Times New Roman" w:cs="Times New Roman"/>
          <w:sz w:val="24"/>
          <w:szCs w:val="24"/>
        </w:rPr>
        <w:t xml:space="preserve"> .2020г. №</w:t>
      </w:r>
      <w:r w:rsidR="000A45FC">
        <w:rPr>
          <w:rFonts w:ascii="Times New Roman" w:hAnsi="Times New Roman" w:cs="Times New Roman"/>
          <w:sz w:val="24"/>
          <w:szCs w:val="24"/>
        </w:rPr>
        <w:t>139/1</w:t>
      </w:r>
      <w:r w:rsidR="000A45FC" w:rsidRPr="000A45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ПОЛОЖЕНИЕ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 налоговых льготах по местным налогам юридическим лицам и предпринимателям,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осуществляющим инвестиционную деятельность на территории Байгуловского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сельского поселения Козловского района Чувашской Республики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Настоящее Положение представляет собой нормативный правовой акт,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определяющий порядок предоставления налоговых льгот инвесторам на территории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Байгуловского сельского поселения Козловского района Чувашской Республики.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1. Основные понятия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1.1. Под налоговой льготой понимается освобождение от уплаты налогов на территории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Байгуловского сельского поселения Козловского района Чувашской Республики.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1.2. Инвестором в производстве (далее — инвестор) признаются юридические лица,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представительства или филиалы, а также индивидуальные предприниматели,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зарегистрированные на территории Байгуловского сельского поселения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Республики, в том числе иностранные,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осуществляющие инвестиционную деятельность и уплачивающие законодательно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установленные налоги в местный бюджет.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1.3. Объектами производственных инвестиций (далее — инвестиции) признаются вновь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создаваемые за счет производственных инвестиций основные фонды.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1.4. Под инвестициями понимаются денежные средства (денежные инвестиции), машины,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оборудование и недвижимое имущество, вкладываемые в объекты производственных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инвестиций.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2.1. Налоговые льготы, предусмотренные настоящим Положением, предоставляются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инвесторам на территории Байгуловского сельского поселения Козловского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района Чувашской Республики, если инвестиции осуществлены после 2018 года 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максимальный срок выхода на проектную мощность с момента начала инвестиций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составляет не более 3 лет.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2.2. Налоговые льготы предоставляются при обязательном исполнении следующих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условий: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а) юридическое лицо (его филиал, представительство) или индивидуальный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предприниматель обязательно должен быть зарегистрирован в Межрайонной инспекции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ФНС России № 7 по Чувашской Республике;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б) сумма инвестиций должна быть эквивалентна не менее 3 млн. рублей, а количество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вновь создаваемых рабочих мест не менее 5 человек;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в) инвестор, претендующий на льготу, заключает с администрацией Байгуловского </w:t>
      </w:r>
      <w:r w:rsidRPr="000A45FC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Козловского района Чувашской Республики налоговое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соглашение.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 Предоставляемые льготы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 Инвесторам в соответствии с настоящим Положением предоставляются следующие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льготы: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3.1. Льгота по земельному налогу и арендной плате за землю: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3.1.1. Инвестор полностью освобождается от уплаты налога на землю или арендной     платы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за землю в части средств, зачисляемых в местный бюджет, в соответствии с налоговым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соглашением, с момента начала строительства до ввода объекта в эксплуатацию,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предусмотренного в инвестиционном проекте, но не более 2-х лет. В течение следующих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трех лет инвестор уплачивает 1/2 налога на землю или арендной платы за землю в части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средств, зачисляемых в местный бюджет.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3.1.2. Льгота по оплате за землю предоставляется путем исключения из налогооблагаемой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базы земельного участка, находящегося под объектом инвестиций.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3.2. Для инвесторов, создающих новое производство с объемом инвестиций 30 млн.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рублей и выше и количество вновь создаваемых рабочих мест не менее 12 человек,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предоставляются следующие налоговые льготы: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3.2.1. По земельному налогу и арендной плате за землю инвестор освобождается от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уплаты налога на 3 года с момента заключения соответствующего налогового соглашения.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 Порядок предоставления налоговых льгот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4.1. Налоговые льготы, предусмотренные настоящим Положением, предоставляются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инвесторам при заключении администрацией Байгуловского сельского поселения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Республики, налогового соглашения, вступающего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юридическую силу после подписания его инвестором и главой Байгуловского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сельского поселения Козловского района Чувашской Республики.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4.2. Налоговое соглашение заключается на основе предоставляемого главе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Байгуловского сельского поселения Козловского района Чувашской Республики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инвестиционного проекта. Инвестиционный проект должен содержать: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план-график и объемы намечаемых инвестиций;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документы по оценке эквивалента стоимости вносимого имущества (в случае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имущественных инвестиций);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описания формы обеспечения налогового соглашения в случае невыполнения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 Если инвестиционный проект представлен в валюте, сумма инвестиций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пересчитывается к курсу доллара США на дату заключения налогового соглашения по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курсу Центрального банка Российской Федерации.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Инвестиционный проект является неотъемлемой частью налогового соглашения.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4.3. В налоговом соглашении обязательно указывается: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объект инвестиционной деятельности, объем и сроки инвестиций;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перечень предоставляемых налоговых льгот, условия их предоставления;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форма контроля, перечень и порядок применения санкций в отношении пользователя,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если объемы инвестиций не введены в эксплуатацию в сроки, установленные проектом 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 xml:space="preserve">налоговым соглашением, если размер инвестиций оказался меньше установленной 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соответственно в п.п. 2.2 и 3.2 суммы, а также в случае возникновения недоимки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бюджет и внебюджетные фонды;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lastRenderedPageBreak/>
        <w:t>— организация, несущая финансовую ответственность в случае экономической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несостоятельности инвестиционного проекта.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4.4. Порядок заключения налогового соглашения устанавливается главой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Байгуловского сельского поселения Козловского района Чувашской Республики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4.5. Инвестор ежеквартально одновременно со сдачей квартального баланса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Межрайонную инспекцию ФНС России № 7 по Чувашской Республике представляет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администрацию информацию и отчетность, необходимые для контроля за выполнением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условий налогового соглашения.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при непредставлении инвестором информации и отчетности по применению налоговых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льгот в установленные сроки налоговые льготы за данный период не предоставляются.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— в случае если инвестор не воспользовался правом пользования налоговой льготой 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(или) не представил документы, подтверждающие это право, налоги (сборы) за данный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отчетный период начисляются в полном размере, неиспользованные льготы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последующем периоде не восстанавливаются.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 Условия, на которых заключено налоговое соглашение, в части предоставления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налоговых льгот могут быть пересмотрены администрацией в одностороннем порядке, а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налоговое соглашение может быть приостановлено или расторгнуто досрочно в случаях: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4.6.1. Невыполнения (нарушения) инвестором плана-графика ввода объекта инвестиций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эксплуатацию в течение срока, установленного проектом и налоговым соглашением.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4.6.2. Невыполнения инвестором объемов инвестиций, установленных проектом 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налоговым соглашением.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4.6.3. Возникновения у инвестора недоимки по текущим налоговым платежам в бюджеты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всех уровней и внебюджетные фонды в течение периода, на который были предоставлены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льготы.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4.6.4. Несоответствия заявленного проекта фактически выполненным работам по объему и срокам освоения инвестиций, содержанию работ и фактическим финансово-экономическим показателям.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4.6.5. Непредставления инвестором в администрацию ежеквартальной отчетности 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информации, указанной в п. 4.5 Положения, в сроки, установленные для сдачи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квартального баланса.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4.6.6. Изменения налогового и бюджетного законодательства Российской Федерации и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4.7. Досрочное расторжение налогового соглашения также может быть произведено по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решению пользователя налоговых льгот (инвестора), по взаимному соглашению или в</w:t>
      </w:r>
    </w:p>
    <w:p w:rsidR="000A45FC" w:rsidRPr="000A45FC" w:rsidRDefault="000A45FC" w:rsidP="000A45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5FC">
        <w:rPr>
          <w:rFonts w:ascii="Times New Roman" w:hAnsi="Times New Roman" w:cs="Times New Roman"/>
          <w:sz w:val="24"/>
          <w:szCs w:val="24"/>
        </w:rPr>
        <w:t>судебном порядке в соответствии с действующим законодательством.</w:t>
      </w:r>
    </w:p>
    <w:p w:rsidR="000A45FC" w:rsidRPr="000A45FC" w:rsidRDefault="000A45FC" w:rsidP="000A45FC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E8A" w:rsidRPr="000A45FC" w:rsidRDefault="008E3E8A" w:rsidP="000A45FC">
      <w:pPr>
        <w:tabs>
          <w:tab w:val="left" w:pos="24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3E8A" w:rsidRPr="000A45FC" w:rsidSect="00D0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EC8"/>
    <w:rsid w:val="000A45FC"/>
    <w:rsid w:val="001C4E16"/>
    <w:rsid w:val="008E3E8A"/>
    <w:rsid w:val="00AC3321"/>
    <w:rsid w:val="00AF23FA"/>
    <w:rsid w:val="00C37724"/>
    <w:rsid w:val="00C815DB"/>
    <w:rsid w:val="00D07726"/>
    <w:rsid w:val="00E5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8E3"/>
  <w15:docId w15:val="{257E5863-62CF-488B-9BC7-F2331679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26"/>
  </w:style>
  <w:style w:type="paragraph" w:styleId="2">
    <w:name w:val="heading 2"/>
    <w:basedOn w:val="a"/>
    <w:next w:val="a"/>
    <w:link w:val="20"/>
    <w:unhideWhenUsed/>
    <w:qFormat/>
    <w:rsid w:val="00E51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EC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3">
    <w:name w:val="Цветовое выделение"/>
    <w:rsid w:val="00E51EC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505840D88FB6565C81BE582B0771B0447E989AE89727B876DFB41BD02B9E027B3C523FA853E7462D32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kozlov_sao_bai</cp:lastModifiedBy>
  <cp:revision>7</cp:revision>
  <dcterms:created xsi:type="dcterms:W3CDTF">2020-01-17T08:36:00Z</dcterms:created>
  <dcterms:modified xsi:type="dcterms:W3CDTF">2021-01-13T10:53:00Z</dcterms:modified>
</cp:coreProperties>
</file>