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6B38A1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CC20DE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>февраля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7832A5">
        <w:rPr>
          <w:b/>
          <w:sz w:val="32"/>
          <w:szCs w:val="32"/>
        </w:rPr>
        <w:t xml:space="preserve"> </w:t>
      </w:r>
      <w:r w:rsidR="00CC20DE">
        <w:rPr>
          <w:b/>
          <w:sz w:val="32"/>
          <w:szCs w:val="32"/>
        </w:rPr>
        <w:t>2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295C6B">
        <w:rPr>
          <w:b/>
          <w:sz w:val="32"/>
          <w:szCs w:val="32"/>
        </w:rPr>
        <w:t>5</w:t>
      </w:r>
      <w:r w:rsidR="00CC20DE">
        <w:rPr>
          <w:b/>
          <w:sz w:val="32"/>
          <w:szCs w:val="32"/>
        </w:rPr>
        <w:t>1</w:t>
      </w:r>
      <w:bookmarkStart w:id="0" w:name="_GoBack"/>
      <w:bookmarkEnd w:id="0"/>
      <w:r w:rsidR="007228D0" w:rsidRPr="007832A5">
        <w:rPr>
          <w:b/>
          <w:sz w:val="32"/>
          <w:szCs w:val="32"/>
        </w:rPr>
        <w:t>)</w:t>
      </w:r>
    </w:p>
    <w:p w:rsidR="00D80E17" w:rsidRDefault="006B38A1" w:rsidP="00862990">
      <w:pPr>
        <w:jc w:val="center"/>
        <w:rPr>
          <w:b/>
          <w:sz w:val="32"/>
          <w:szCs w:val="32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23437A69" wp14:editId="6EBBDA0B">
            <wp:simplePos x="0" y="0"/>
            <wp:positionH relativeFrom="column">
              <wp:posOffset>2240915</wp:posOffset>
            </wp:positionH>
            <wp:positionV relativeFrom="paragraph">
              <wp:posOffset>208280</wp:posOffset>
            </wp:positionV>
            <wp:extent cx="428625" cy="428625"/>
            <wp:effectExtent l="0" t="0" r="9525" b="9525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A5">
        <w:rPr>
          <w:b/>
          <w:sz w:val="32"/>
          <w:szCs w:val="32"/>
        </w:rPr>
        <w:t xml:space="preserve"> </w:t>
      </w:r>
    </w:p>
    <w:p w:rsidR="00345591" w:rsidRDefault="00345591" w:rsidP="00345591">
      <w:pPr>
        <w:pStyle w:val="ab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873"/>
        <w:gridCol w:w="3369"/>
      </w:tblGrid>
      <w:tr w:rsidR="00B12B5A" w:rsidRPr="00B12B5A" w:rsidTr="005C34E2">
        <w:trPr>
          <w:cantSplit/>
          <w:trHeight w:val="420"/>
        </w:trPr>
        <w:tc>
          <w:tcPr>
            <w:tcW w:w="4170" w:type="dxa"/>
            <w:hideMark/>
          </w:tcPr>
          <w:p w:rsidR="00B12B5A" w:rsidRPr="00B12B5A" w:rsidRDefault="00B12B5A" w:rsidP="005C34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>ЧĂВАШ РЕСПУБЛИКИ</w:t>
            </w:r>
          </w:p>
          <w:p w:rsidR="00B12B5A" w:rsidRPr="00B12B5A" w:rsidRDefault="00B12B5A" w:rsidP="005C34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B12B5A" w:rsidRPr="00B12B5A" w:rsidRDefault="00B12B5A" w:rsidP="005C34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42" w:type="dxa"/>
            <w:hideMark/>
          </w:tcPr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 xml:space="preserve">ЧУВАШСКАЯ РЕСПУБЛИКА </w:t>
            </w: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>ВУРНАРСКИЙ РАЙОН</w:t>
            </w:r>
          </w:p>
        </w:tc>
      </w:tr>
      <w:tr w:rsidR="00B12B5A" w:rsidRPr="00B12B5A" w:rsidTr="00B12B5A">
        <w:trPr>
          <w:cantSplit/>
          <w:trHeight w:val="1070"/>
        </w:trPr>
        <w:tc>
          <w:tcPr>
            <w:tcW w:w="4170" w:type="dxa"/>
          </w:tcPr>
          <w:p w:rsidR="00B12B5A" w:rsidRPr="00B12B5A" w:rsidRDefault="00B12B5A" w:rsidP="005C34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 xml:space="preserve">НУРАС ЯЛ ПОСЕЛЕНИЙĚН </w:t>
            </w:r>
          </w:p>
          <w:p w:rsidR="00B12B5A" w:rsidRPr="00B12B5A" w:rsidRDefault="00B12B5A" w:rsidP="005C34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>АДМИНИСТРАЦИЙĚ</w:t>
            </w:r>
          </w:p>
          <w:p w:rsidR="00B12B5A" w:rsidRPr="00B12B5A" w:rsidRDefault="00B12B5A" w:rsidP="005C34E2">
            <w:pPr>
              <w:rPr>
                <w:sz w:val="12"/>
                <w:szCs w:val="12"/>
              </w:rPr>
            </w:pP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2"/>
                <w:szCs w:val="12"/>
              </w:rPr>
            </w:pPr>
            <w:r w:rsidRPr="00B12B5A">
              <w:rPr>
                <w:b/>
                <w:bCs/>
                <w:sz w:val="12"/>
                <w:szCs w:val="12"/>
              </w:rPr>
              <w:t>ЙЫШАНУ</w:t>
            </w:r>
          </w:p>
          <w:p w:rsidR="00B12B5A" w:rsidRPr="00B12B5A" w:rsidRDefault="00B12B5A" w:rsidP="005C34E2">
            <w:pPr>
              <w:rPr>
                <w:sz w:val="12"/>
                <w:szCs w:val="12"/>
              </w:rPr>
            </w:pP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2"/>
                <w:szCs w:val="12"/>
              </w:rPr>
            </w:pPr>
            <w:r w:rsidRPr="00B12B5A">
              <w:rPr>
                <w:noProof/>
                <w:color w:val="000000"/>
                <w:sz w:val="12"/>
                <w:szCs w:val="12"/>
              </w:rPr>
              <w:t>« 02» февраля  2021  №  7</w:t>
            </w: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2"/>
                <w:szCs w:val="12"/>
              </w:rPr>
            </w:pPr>
            <w:r w:rsidRPr="00B12B5A">
              <w:rPr>
                <w:noProof/>
                <w:color w:val="000000"/>
                <w:sz w:val="12"/>
                <w:szCs w:val="12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12B5A" w:rsidRPr="00B12B5A" w:rsidRDefault="00B12B5A" w:rsidP="005C34E2">
            <w:pPr>
              <w:rPr>
                <w:sz w:val="12"/>
                <w:szCs w:val="12"/>
              </w:rPr>
            </w:pPr>
          </w:p>
        </w:tc>
        <w:tc>
          <w:tcPr>
            <w:tcW w:w="4242" w:type="dxa"/>
          </w:tcPr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 xml:space="preserve">АДМИНИСТРАЦИЯ </w:t>
            </w: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 xml:space="preserve">КАЛИНИНСКОГО СЕЛЬСКОГО </w:t>
            </w: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bCs/>
                <w:noProof/>
                <w:color w:val="000000"/>
                <w:sz w:val="12"/>
                <w:szCs w:val="12"/>
              </w:rPr>
              <w:t>ПОСЕЛЕНИЯ</w:t>
            </w: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2"/>
                <w:szCs w:val="12"/>
              </w:rPr>
            </w:pPr>
            <w:r w:rsidRPr="00B12B5A">
              <w:rPr>
                <w:b/>
                <w:noProof/>
                <w:color w:val="000000"/>
                <w:sz w:val="12"/>
                <w:szCs w:val="12"/>
              </w:rPr>
              <w:t>ПОСТАНОВЛЕНИЕ</w:t>
            </w:r>
          </w:p>
          <w:p w:rsidR="00B12B5A" w:rsidRPr="00B12B5A" w:rsidRDefault="00B12B5A" w:rsidP="005C34E2">
            <w:pPr>
              <w:rPr>
                <w:sz w:val="12"/>
                <w:szCs w:val="12"/>
              </w:rPr>
            </w:pPr>
          </w:p>
          <w:p w:rsidR="00B12B5A" w:rsidRPr="00B12B5A" w:rsidRDefault="00B12B5A" w:rsidP="005C34E2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2"/>
                <w:szCs w:val="12"/>
              </w:rPr>
            </w:pPr>
            <w:r w:rsidRPr="00B12B5A">
              <w:rPr>
                <w:noProof/>
                <w:color w:val="000000"/>
                <w:sz w:val="12"/>
                <w:szCs w:val="12"/>
              </w:rPr>
              <w:t>«02»  февраля 2021 №  7</w:t>
            </w:r>
          </w:p>
          <w:p w:rsidR="00B12B5A" w:rsidRPr="00B12B5A" w:rsidRDefault="00B12B5A" w:rsidP="005C34E2">
            <w:pPr>
              <w:ind w:left="348"/>
              <w:jc w:val="center"/>
              <w:rPr>
                <w:noProof/>
                <w:color w:val="000000"/>
                <w:sz w:val="12"/>
                <w:szCs w:val="12"/>
              </w:rPr>
            </w:pPr>
            <w:r w:rsidRPr="00B12B5A">
              <w:rPr>
                <w:noProof/>
                <w:color w:val="000000"/>
                <w:sz w:val="12"/>
                <w:szCs w:val="12"/>
              </w:rPr>
              <w:t>село Калинино</w:t>
            </w:r>
          </w:p>
        </w:tc>
      </w:tr>
    </w:tbl>
    <w:p w:rsidR="00B12B5A" w:rsidRPr="00B12B5A" w:rsidRDefault="00B12B5A" w:rsidP="00B12B5A">
      <w:pPr>
        <w:pStyle w:val="ConsPlusNormal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809"/>
      </w:tblGrid>
      <w:tr w:rsidR="00B12B5A" w:rsidRPr="00B12B5A" w:rsidTr="00B12B5A">
        <w:trPr>
          <w:trHeight w:val="5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5A" w:rsidRPr="00B12B5A" w:rsidRDefault="00B12B5A" w:rsidP="005C34E2">
            <w:pPr>
              <w:jc w:val="both"/>
              <w:rPr>
                <w:rFonts w:eastAsia="Calibri"/>
                <w:b/>
                <w:sz w:val="12"/>
                <w:szCs w:val="12"/>
              </w:rPr>
            </w:pPr>
          </w:p>
          <w:p w:rsidR="00B12B5A" w:rsidRPr="00B12B5A" w:rsidRDefault="00B12B5A" w:rsidP="005C34E2">
            <w:pPr>
              <w:jc w:val="both"/>
              <w:rPr>
                <w:rFonts w:eastAsia="Calibri"/>
                <w:b/>
                <w:sz w:val="12"/>
                <w:szCs w:val="12"/>
              </w:rPr>
            </w:pPr>
          </w:p>
          <w:p w:rsidR="00B12B5A" w:rsidRPr="00B12B5A" w:rsidRDefault="00B12B5A" w:rsidP="005C34E2">
            <w:pPr>
              <w:jc w:val="both"/>
              <w:rPr>
                <w:rFonts w:eastAsia="Calibri"/>
                <w:b/>
                <w:sz w:val="12"/>
                <w:szCs w:val="12"/>
              </w:rPr>
            </w:pPr>
            <w:r w:rsidRPr="00B12B5A">
              <w:rPr>
                <w:rFonts w:eastAsia="Calibri"/>
                <w:b/>
                <w:sz w:val="12"/>
                <w:szCs w:val="12"/>
              </w:rPr>
              <w:t xml:space="preserve">Об утверждении Положения о порядке ведения реестра муниципальных служащих в Калининском сельском поселении </w:t>
            </w:r>
            <w:proofErr w:type="spellStart"/>
            <w:r w:rsidRPr="00B12B5A">
              <w:rPr>
                <w:rFonts w:eastAsia="Calibri"/>
                <w:b/>
                <w:sz w:val="12"/>
                <w:szCs w:val="12"/>
              </w:rPr>
              <w:t>Вурнарского</w:t>
            </w:r>
            <w:proofErr w:type="spellEnd"/>
            <w:r w:rsidRPr="00B12B5A">
              <w:rPr>
                <w:rFonts w:eastAsia="Calibri"/>
                <w:b/>
                <w:sz w:val="12"/>
                <w:szCs w:val="12"/>
              </w:rPr>
              <w:t xml:space="preserve"> района Чувашской Республики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5A" w:rsidRPr="00B12B5A" w:rsidRDefault="00B12B5A" w:rsidP="005C34E2">
            <w:pPr>
              <w:spacing w:line="480" w:lineRule="auto"/>
              <w:rPr>
                <w:rFonts w:eastAsia="Calibri"/>
                <w:b/>
                <w:sz w:val="12"/>
                <w:szCs w:val="12"/>
              </w:rPr>
            </w:pPr>
          </w:p>
        </w:tc>
      </w:tr>
    </w:tbl>
    <w:p w:rsidR="00B12B5A" w:rsidRPr="00B12B5A" w:rsidRDefault="00B12B5A" w:rsidP="00B12B5A">
      <w:pPr>
        <w:ind w:firstLine="708"/>
        <w:jc w:val="both"/>
        <w:rPr>
          <w:sz w:val="12"/>
          <w:szCs w:val="12"/>
        </w:rPr>
      </w:pPr>
    </w:p>
    <w:p w:rsidR="00B12B5A" w:rsidRPr="00B12B5A" w:rsidRDefault="00B12B5A" w:rsidP="00B12B5A">
      <w:pPr>
        <w:ind w:firstLine="708"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В соответствии с Федеральным законом от 2.03.2007 г. № 25-ФЗ «О муниципальной службе в Российской Федерации», Законом Чувашской Республики от 5.10.2007 г. № 62 «О муниципальной службе в Чувашской Республике», Уставом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Республики, администрация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постановляет:</w:t>
      </w:r>
    </w:p>
    <w:p w:rsidR="00B12B5A" w:rsidRPr="00B12B5A" w:rsidRDefault="00B12B5A" w:rsidP="00B12B5A">
      <w:pPr>
        <w:numPr>
          <w:ilvl w:val="0"/>
          <w:numId w:val="34"/>
        </w:numPr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Утвердить прилагаемое Положение о порядке ведения реестра муниципальных служащих в Калининском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Республики.</w:t>
      </w:r>
    </w:p>
    <w:p w:rsidR="00B12B5A" w:rsidRPr="00B12B5A" w:rsidRDefault="00B12B5A" w:rsidP="00B12B5A">
      <w:pPr>
        <w:numPr>
          <w:ilvl w:val="0"/>
          <w:numId w:val="34"/>
        </w:numPr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Признать утратившим силу постановление администрации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от 15.02.2008 г. № 10 «Об утверждении Порядка ведения реестра муниципальных служащих в Калининском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Республики».</w:t>
      </w:r>
    </w:p>
    <w:p w:rsidR="00B12B5A" w:rsidRPr="00B12B5A" w:rsidRDefault="00B12B5A" w:rsidP="00B12B5A">
      <w:pPr>
        <w:numPr>
          <w:ilvl w:val="0"/>
          <w:numId w:val="34"/>
        </w:numPr>
        <w:contextualSpacing/>
        <w:jc w:val="both"/>
        <w:rPr>
          <w:sz w:val="12"/>
          <w:szCs w:val="12"/>
        </w:rPr>
      </w:pPr>
      <w:proofErr w:type="gramStart"/>
      <w:r w:rsidRPr="00B12B5A">
        <w:rPr>
          <w:sz w:val="12"/>
          <w:szCs w:val="12"/>
        </w:rPr>
        <w:t>Контроль за</w:t>
      </w:r>
      <w:proofErr w:type="gramEnd"/>
      <w:r w:rsidRPr="00B12B5A">
        <w:rPr>
          <w:sz w:val="12"/>
          <w:szCs w:val="12"/>
        </w:rPr>
        <w:t xml:space="preserve"> исполнением настоящего постановления оставляю за собой.</w:t>
      </w:r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Глава </w:t>
      </w:r>
      <w:proofErr w:type="gramStart"/>
      <w:r w:rsidRPr="00B12B5A">
        <w:rPr>
          <w:sz w:val="12"/>
          <w:szCs w:val="12"/>
        </w:rPr>
        <w:t>Калининского</w:t>
      </w:r>
      <w:proofErr w:type="gramEnd"/>
    </w:p>
    <w:p w:rsidR="00B12B5A" w:rsidRPr="00B12B5A" w:rsidRDefault="00B12B5A" w:rsidP="00B12B5A">
      <w:pPr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сельского поселения  </w:t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r w:rsidRPr="00B12B5A">
        <w:rPr>
          <w:sz w:val="12"/>
          <w:szCs w:val="12"/>
        </w:rPr>
        <w:tab/>
      </w:r>
      <w:proofErr w:type="spellStart"/>
      <w:r w:rsidRPr="00B12B5A">
        <w:rPr>
          <w:sz w:val="12"/>
          <w:szCs w:val="12"/>
        </w:rPr>
        <w:t>А.Н.Консатнтинова</w:t>
      </w:r>
      <w:proofErr w:type="spellEnd"/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jc w:val="right"/>
        <w:rPr>
          <w:sz w:val="12"/>
          <w:szCs w:val="12"/>
        </w:rPr>
      </w:pPr>
      <w:r w:rsidRPr="00B12B5A">
        <w:rPr>
          <w:sz w:val="12"/>
          <w:szCs w:val="12"/>
        </w:rPr>
        <w:t>Приложение к постановлению</w:t>
      </w:r>
    </w:p>
    <w:p w:rsidR="00B12B5A" w:rsidRPr="00B12B5A" w:rsidRDefault="00B12B5A" w:rsidP="00B12B5A">
      <w:pPr>
        <w:jc w:val="right"/>
        <w:rPr>
          <w:sz w:val="12"/>
          <w:szCs w:val="12"/>
        </w:rPr>
      </w:pPr>
      <w:r w:rsidRPr="00B12B5A">
        <w:rPr>
          <w:sz w:val="12"/>
          <w:szCs w:val="12"/>
        </w:rPr>
        <w:t xml:space="preserve"> администрации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</w:t>
      </w:r>
    </w:p>
    <w:p w:rsidR="00B12B5A" w:rsidRPr="00B12B5A" w:rsidRDefault="00B12B5A" w:rsidP="00B12B5A">
      <w:pPr>
        <w:jc w:val="right"/>
        <w:rPr>
          <w:sz w:val="12"/>
          <w:szCs w:val="12"/>
        </w:rPr>
      </w:pPr>
      <w:r w:rsidRPr="00B12B5A">
        <w:rPr>
          <w:sz w:val="12"/>
          <w:szCs w:val="12"/>
        </w:rPr>
        <w:t>от 02.02..2021 г № 7</w:t>
      </w:r>
    </w:p>
    <w:p w:rsidR="00B12B5A" w:rsidRPr="00B12B5A" w:rsidRDefault="00B12B5A" w:rsidP="00B12B5A">
      <w:pPr>
        <w:jc w:val="right"/>
        <w:rPr>
          <w:sz w:val="12"/>
          <w:szCs w:val="12"/>
        </w:rPr>
      </w:pPr>
    </w:p>
    <w:p w:rsidR="00B12B5A" w:rsidRPr="00B12B5A" w:rsidRDefault="00B12B5A" w:rsidP="00B12B5A">
      <w:pPr>
        <w:jc w:val="center"/>
        <w:rPr>
          <w:sz w:val="12"/>
          <w:szCs w:val="12"/>
        </w:rPr>
      </w:pP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>ПОЛОЖЕНИЕ</w:t>
      </w: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 xml:space="preserve">о порядке ведения реестра муниципальных служащих </w:t>
      </w: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 xml:space="preserve">в Калининском сельском поселении </w:t>
      </w:r>
      <w:proofErr w:type="spellStart"/>
      <w:r w:rsidRPr="00B12B5A">
        <w:rPr>
          <w:b/>
          <w:sz w:val="12"/>
          <w:szCs w:val="12"/>
        </w:rPr>
        <w:t>Вурнарского</w:t>
      </w:r>
      <w:proofErr w:type="spellEnd"/>
      <w:r w:rsidRPr="00B12B5A">
        <w:rPr>
          <w:b/>
          <w:sz w:val="12"/>
          <w:szCs w:val="12"/>
        </w:rPr>
        <w:t xml:space="preserve"> района Чувашской Республики</w:t>
      </w: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</w:p>
    <w:p w:rsidR="00B12B5A" w:rsidRPr="00B12B5A" w:rsidRDefault="00B12B5A" w:rsidP="00B12B5A">
      <w:pPr>
        <w:numPr>
          <w:ilvl w:val="0"/>
          <w:numId w:val="35"/>
        </w:numPr>
        <w:contextualSpacing/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>Общие положения</w:t>
      </w:r>
    </w:p>
    <w:p w:rsidR="00B12B5A" w:rsidRPr="00B12B5A" w:rsidRDefault="00B12B5A" w:rsidP="00B12B5A">
      <w:pPr>
        <w:jc w:val="center"/>
        <w:rPr>
          <w:b/>
          <w:sz w:val="12"/>
          <w:szCs w:val="12"/>
        </w:rPr>
      </w:pPr>
    </w:p>
    <w:p w:rsidR="00B12B5A" w:rsidRPr="00B12B5A" w:rsidRDefault="00B12B5A" w:rsidP="00B12B5A">
      <w:pPr>
        <w:numPr>
          <w:ilvl w:val="0"/>
          <w:numId w:val="36"/>
        </w:numPr>
        <w:ind w:left="0" w:firstLine="426"/>
        <w:contextualSpacing/>
        <w:jc w:val="both"/>
        <w:rPr>
          <w:sz w:val="12"/>
          <w:szCs w:val="12"/>
        </w:rPr>
      </w:pPr>
      <w:proofErr w:type="gramStart"/>
      <w:r w:rsidRPr="00B12B5A">
        <w:rPr>
          <w:sz w:val="12"/>
          <w:szCs w:val="12"/>
        </w:rPr>
        <w:t xml:space="preserve">Положение о порядке ведения реестра муниципальных служащих в Калининском сельском поселении 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(далее – Положение) разработан в соответствии с Федеральным законом от 2.03.2007 г. № 25-ФЗ «О муниципальной службе в Российской Федерации», Законом Чувашской Республики от 5.10.2007 г. № 62 «О муниципальной службе в Чувашской Республике», Уставом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Республики.</w:t>
      </w:r>
      <w:proofErr w:type="gramEnd"/>
    </w:p>
    <w:p w:rsidR="00B12B5A" w:rsidRPr="00B12B5A" w:rsidRDefault="00B12B5A" w:rsidP="00B12B5A">
      <w:pPr>
        <w:numPr>
          <w:ilvl w:val="1"/>
          <w:numId w:val="35"/>
        </w:numPr>
        <w:ind w:left="0" w:firstLine="360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Реестр муниципальных служащих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(далее – реестр) представляет собой сводный перечень сведений о муниципальных служащих, замещающих должности муниципальной службы </w:t>
      </w:r>
      <w:proofErr w:type="gramStart"/>
      <w:r w:rsidRPr="00B12B5A">
        <w:rPr>
          <w:sz w:val="12"/>
          <w:szCs w:val="12"/>
        </w:rPr>
        <w:t>в</w:t>
      </w:r>
      <w:proofErr w:type="gramEnd"/>
      <w:r w:rsidRPr="00B12B5A">
        <w:rPr>
          <w:sz w:val="12"/>
          <w:szCs w:val="12"/>
        </w:rPr>
        <w:t xml:space="preserve"> </w:t>
      </w:r>
      <w:proofErr w:type="gramStart"/>
      <w:r w:rsidRPr="00B12B5A">
        <w:rPr>
          <w:sz w:val="12"/>
          <w:szCs w:val="12"/>
        </w:rPr>
        <w:t>Калининском</w:t>
      </w:r>
      <w:proofErr w:type="gramEnd"/>
      <w:r w:rsidRPr="00B12B5A">
        <w:rPr>
          <w:sz w:val="12"/>
          <w:szCs w:val="12"/>
        </w:rPr>
        <w:t xml:space="preserve">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Республики.</w:t>
      </w:r>
    </w:p>
    <w:p w:rsidR="00B12B5A" w:rsidRPr="00B12B5A" w:rsidRDefault="00B12B5A" w:rsidP="00B12B5A">
      <w:pPr>
        <w:numPr>
          <w:ilvl w:val="1"/>
          <w:numId w:val="35"/>
        </w:numPr>
        <w:ind w:left="0" w:firstLine="360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Реестр является документом, удостоверяющим наличие должностей муниципальной службы в Калининском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и фактическое прохождение муниципальной службы лицами, замещающими (замещавшими) эти должности.</w:t>
      </w:r>
    </w:p>
    <w:p w:rsidR="00B12B5A" w:rsidRPr="00B12B5A" w:rsidRDefault="00B12B5A" w:rsidP="00B12B5A">
      <w:pPr>
        <w:numPr>
          <w:ilvl w:val="1"/>
          <w:numId w:val="35"/>
        </w:numPr>
        <w:ind w:left="0" w:firstLine="360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Сведения, содержащиеся в Реестре, являются основанием для проведения анализа кадрового состава  Калининского сельского поселения 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и выработки предложений и рекомендаций по совершенствованию работы с кадрами для руководителей органов местного самоуправления в </w:t>
      </w:r>
      <w:proofErr w:type="spellStart"/>
      <w:r w:rsidRPr="00B12B5A">
        <w:rPr>
          <w:sz w:val="12"/>
          <w:szCs w:val="12"/>
        </w:rPr>
        <w:t>Вурнарском</w:t>
      </w:r>
      <w:proofErr w:type="spellEnd"/>
      <w:r w:rsidRPr="00B12B5A">
        <w:rPr>
          <w:sz w:val="12"/>
          <w:szCs w:val="12"/>
        </w:rPr>
        <w:t xml:space="preserve"> районе Чувашской Республики, формирования кадрового резерва для замещения вакантных должностей муниципальной службы.</w:t>
      </w:r>
    </w:p>
    <w:p w:rsidR="00B12B5A" w:rsidRPr="00B12B5A" w:rsidRDefault="00B12B5A" w:rsidP="00B12B5A">
      <w:pPr>
        <w:numPr>
          <w:ilvl w:val="1"/>
          <w:numId w:val="35"/>
        </w:numPr>
        <w:ind w:left="0" w:firstLine="360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законодательством. </w:t>
      </w:r>
    </w:p>
    <w:p w:rsidR="00B12B5A" w:rsidRPr="00B12B5A" w:rsidRDefault="00B12B5A" w:rsidP="00B12B5A">
      <w:pPr>
        <w:jc w:val="both"/>
        <w:rPr>
          <w:sz w:val="12"/>
          <w:szCs w:val="12"/>
        </w:rPr>
      </w:pPr>
    </w:p>
    <w:p w:rsidR="00B12B5A" w:rsidRPr="00B12B5A" w:rsidRDefault="00B12B5A" w:rsidP="00B12B5A">
      <w:pPr>
        <w:numPr>
          <w:ilvl w:val="0"/>
          <w:numId w:val="35"/>
        </w:numPr>
        <w:contextualSpacing/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>Порядок формирования и ведения Реестра</w:t>
      </w:r>
    </w:p>
    <w:p w:rsidR="00B12B5A" w:rsidRPr="00B12B5A" w:rsidRDefault="00B12B5A" w:rsidP="00B12B5A">
      <w:pPr>
        <w:ind w:firstLine="567"/>
        <w:contextualSpacing/>
        <w:rPr>
          <w:b/>
          <w:sz w:val="12"/>
          <w:szCs w:val="12"/>
        </w:rPr>
      </w:pP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Сведения, включаемые в Реестр, специалистами, ответственными за ведение кадрового делопроизводства в Калининском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Координация деятельности кадровых служб органов местного самоуправления в </w:t>
      </w:r>
      <w:proofErr w:type="spellStart"/>
      <w:r w:rsidRPr="00B12B5A">
        <w:rPr>
          <w:sz w:val="12"/>
          <w:szCs w:val="12"/>
        </w:rPr>
        <w:t>Вурнарском</w:t>
      </w:r>
      <w:proofErr w:type="spellEnd"/>
      <w:r w:rsidRPr="00B12B5A">
        <w:rPr>
          <w:sz w:val="12"/>
          <w:szCs w:val="12"/>
        </w:rPr>
        <w:t xml:space="preserve"> районе Чувашской Республики возлагается на отдел организационной, кадровой и юридической службы администрации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(далее – отдел </w:t>
      </w:r>
      <w:proofErr w:type="gramStart"/>
      <w:r w:rsidRPr="00B12B5A">
        <w:rPr>
          <w:sz w:val="12"/>
          <w:szCs w:val="12"/>
        </w:rPr>
        <w:t>ОК</w:t>
      </w:r>
      <w:proofErr w:type="gramEnd"/>
      <w:r w:rsidRPr="00B12B5A">
        <w:rPr>
          <w:sz w:val="12"/>
          <w:szCs w:val="12"/>
        </w:rPr>
        <w:t xml:space="preserve"> и ЮС).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proofErr w:type="gramStart"/>
      <w:r w:rsidRPr="00B12B5A">
        <w:rPr>
          <w:sz w:val="12"/>
          <w:szCs w:val="12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Ведение Реестра включает в себя:</w:t>
      </w:r>
    </w:p>
    <w:p w:rsidR="00B12B5A" w:rsidRPr="00B12B5A" w:rsidRDefault="00B12B5A" w:rsidP="00B12B5A">
      <w:pPr>
        <w:numPr>
          <w:ilvl w:val="0"/>
          <w:numId w:val="38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ввод новых данных в Реестр и корректировка имеющихся;</w:t>
      </w:r>
    </w:p>
    <w:p w:rsidR="00B12B5A" w:rsidRPr="00B12B5A" w:rsidRDefault="00B12B5A" w:rsidP="00B12B5A">
      <w:pPr>
        <w:numPr>
          <w:ilvl w:val="0"/>
          <w:numId w:val="38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архивирование данных, удаляемых из Реестра;</w:t>
      </w:r>
    </w:p>
    <w:p w:rsidR="00B12B5A" w:rsidRPr="00B12B5A" w:rsidRDefault="00B12B5A" w:rsidP="00B12B5A">
      <w:pPr>
        <w:numPr>
          <w:ilvl w:val="0"/>
          <w:numId w:val="38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Муниципальный служащий, уволенный с муниципальной службы, исключается из реестра в день увольнения.</w:t>
      </w:r>
    </w:p>
    <w:p w:rsidR="00B12B5A" w:rsidRPr="00B12B5A" w:rsidRDefault="00B12B5A" w:rsidP="00B12B5A">
      <w:pPr>
        <w:ind w:firstLine="567"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Реестр ведется по форме согласно приложению № 1 к настоящему Положению.</w:t>
      </w:r>
    </w:p>
    <w:p w:rsidR="00B12B5A" w:rsidRPr="00B12B5A" w:rsidRDefault="00B12B5A" w:rsidP="00B12B5A">
      <w:pPr>
        <w:ind w:firstLine="567"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Сведения о муниципальных служащих для включения в Реестр формируются на основе сведений, представленных в личных делах муниципальных служащих.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Сведения об изменениях учетных данных муниципальных служащих составляются по форме согласно приложению № 2 к настоящему Положению.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Специалисты, ответственные за ведение кадрового делопроизводства в Калининском сельском поселении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ежемесячно по состоянию на первое число каждого месяца представляют в отдел </w:t>
      </w:r>
      <w:proofErr w:type="gramStart"/>
      <w:r w:rsidRPr="00B12B5A">
        <w:rPr>
          <w:sz w:val="12"/>
          <w:szCs w:val="12"/>
        </w:rPr>
        <w:t>ОК</w:t>
      </w:r>
      <w:proofErr w:type="gramEnd"/>
      <w:r w:rsidRPr="00B12B5A">
        <w:rPr>
          <w:sz w:val="12"/>
          <w:szCs w:val="12"/>
        </w:rPr>
        <w:t xml:space="preserve"> и ЮС сведения об изменениях учетных данных муниципальных служащих по форме согласно приложению № 2 к настоящему Положению.</w:t>
      </w:r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Указанные сведения представляются на бумажных носителях, подписываются руководителем и заверяются гербовой печатью учреждения. В случае отсутствия изменений учетных данных представляется письменная информация об этом, подписанная руководителем и заверенная гербовой печатью учреждения.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Реестр один раз в год по состоянию на 1 января составляется на бумажном носителе, утверждается главой администрации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Республики, заверяется гербовой печатью администрации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Республики.</w:t>
      </w:r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Утвержденный Реестр хранится в администрации сельского поселения 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Специалисты, ответственные за ведение кадрового делопроизводства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№ 3 к настоящему Положению. Список составляется на бумажном носителе, подписывается специалистом, ответственные за ведение кадрового делопроизводства, заверяется гербовой печатью учреждения. </w:t>
      </w:r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Список хранится в администрации сельского поселения 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B12B5A" w:rsidRPr="00B12B5A" w:rsidRDefault="00B12B5A" w:rsidP="00B12B5A">
      <w:pPr>
        <w:numPr>
          <w:ilvl w:val="1"/>
          <w:numId w:val="37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Передача сведений из Реестра третьей стороне не допускается без письменного согласия муниципального служащего, за исключение случаев, установленных федеральным законодательством.</w:t>
      </w:r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  <w:proofErr w:type="gramStart"/>
      <w:r w:rsidRPr="00B12B5A">
        <w:rPr>
          <w:sz w:val="12"/>
          <w:szCs w:val="12"/>
        </w:rPr>
        <w:t xml:space="preserve">Передача сведений из Реестра третьей стороне осуществляется по письменному разрешению главы администрации Калининского сельского поселения 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 либо иного должностного лица, уполномоченного распоряжением администрации Калининского сельского поселения </w:t>
      </w:r>
      <w:proofErr w:type="spellStart"/>
      <w:r w:rsidRPr="00B12B5A">
        <w:rPr>
          <w:sz w:val="12"/>
          <w:szCs w:val="12"/>
        </w:rPr>
        <w:t>Вурнарского</w:t>
      </w:r>
      <w:proofErr w:type="spellEnd"/>
      <w:r w:rsidRPr="00B12B5A">
        <w:rPr>
          <w:sz w:val="12"/>
          <w:szCs w:val="12"/>
        </w:rPr>
        <w:t xml:space="preserve"> района Чувашской Республики,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г. №152-ФЗ «О персональных данных» и иными нормативными правовыми</w:t>
      </w:r>
      <w:proofErr w:type="gramEnd"/>
      <w:r w:rsidRPr="00B12B5A">
        <w:rPr>
          <w:sz w:val="12"/>
          <w:szCs w:val="12"/>
        </w:rPr>
        <w:t xml:space="preserve"> актами.</w:t>
      </w:r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</w:p>
    <w:p w:rsidR="00B12B5A" w:rsidRPr="00B12B5A" w:rsidRDefault="00B12B5A" w:rsidP="00B12B5A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>Ответственность</w:t>
      </w:r>
    </w:p>
    <w:p w:rsidR="00B12B5A" w:rsidRPr="00B12B5A" w:rsidRDefault="00B12B5A" w:rsidP="00B12B5A">
      <w:pPr>
        <w:ind w:firstLine="567"/>
        <w:jc w:val="both"/>
        <w:rPr>
          <w:sz w:val="12"/>
          <w:szCs w:val="12"/>
        </w:rPr>
      </w:pPr>
    </w:p>
    <w:p w:rsidR="00B12B5A" w:rsidRPr="00B12B5A" w:rsidRDefault="00B12B5A" w:rsidP="00B12B5A">
      <w:pPr>
        <w:numPr>
          <w:ilvl w:val="1"/>
          <w:numId w:val="34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 xml:space="preserve"> </w:t>
      </w:r>
      <w:proofErr w:type="gramStart"/>
      <w:r w:rsidRPr="00B12B5A">
        <w:rPr>
          <w:sz w:val="12"/>
          <w:szCs w:val="12"/>
        </w:rPr>
        <w:t>Руководители органов местного самоуправления, руководители и специалисты кадровых служб (специалисты, ответственные за ведение кадрового делопроизводства) несут дисциплинарную и иную, предусмотренную действующим законодательством, ответственность за недостоверное или несвоевременное предоставление сведений для формирование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p w:rsidR="00B12B5A" w:rsidRPr="00B12B5A" w:rsidRDefault="00B12B5A" w:rsidP="00B12B5A">
      <w:pPr>
        <w:ind w:firstLine="567"/>
        <w:contextualSpacing/>
        <w:jc w:val="both"/>
        <w:rPr>
          <w:sz w:val="12"/>
          <w:szCs w:val="12"/>
        </w:rPr>
      </w:pPr>
    </w:p>
    <w:p w:rsidR="00B12B5A" w:rsidRPr="00B12B5A" w:rsidRDefault="00B12B5A" w:rsidP="00B12B5A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12"/>
          <w:szCs w:val="12"/>
        </w:rPr>
      </w:pPr>
      <w:r w:rsidRPr="00B12B5A">
        <w:rPr>
          <w:b/>
          <w:sz w:val="12"/>
          <w:szCs w:val="12"/>
        </w:rPr>
        <w:t>Заключительные положения</w:t>
      </w:r>
    </w:p>
    <w:p w:rsidR="00B12B5A" w:rsidRPr="00B12B5A" w:rsidRDefault="00B12B5A" w:rsidP="00B12B5A">
      <w:pPr>
        <w:ind w:firstLine="567"/>
        <w:jc w:val="center"/>
        <w:rPr>
          <w:b/>
          <w:sz w:val="12"/>
          <w:szCs w:val="12"/>
        </w:rPr>
      </w:pPr>
    </w:p>
    <w:p w:rsidR="00B12B5A" w:rsidRPr="00B12B5A" w:rsidRDefault="00B12B5A" w:rsidP="00B12B5A">
      <w:pPr>
        <w:numPr>
          <w:ilvl w:val="1"/>
          <w:numId w:val="39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B12B5A" w:rsidRDefault="00B12B5A" w:rsidP="00B12B5A">
      <w:pPr>
        <w:numPr>
          <w:ilvl w:val="1"/>
          <w:numId w:val="39"/>
        </w:numPr>
        <w:ind w:left="0" w:firstLine="567"/>
        <w:contextualSpacing/>
        <w:jc w:val="both"/>
        <w:rPr>
          <w:sz w:val="12"/>
          <w:szCs w:val="12"/>
        </w:rPr>
      </w:pPr>
      <w:r w:rsidRPr="00B12B5A">
        <w:rPr>
          <w:sz w:val="12"/>
          <w:szCs w:val="12"/>
        </w:rPr>
        <w:t>Споры, связанные с ведением Реестра, рассматриваются в соответствии с действующим законодательством.</w:t>
      </w: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B12B5A" w:rsidRDefault="00B12B5A" w:rsidP="00B12B5A">
      <w:pPr>
        <w:contextualSpacing/>
        <w:jc w:val="both"/>
        <w:rPr>
          <w:sz w:val="12"/>
          <w:szCs w:val="12"/>
        </w:rPr>
      </w:pP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Приложение № 1 к Положению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о порядке ведения реестра муниципальных служащих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в Калининском сельском поселении </w:t>
      </w:r>
      <w:proofErr w:type="spellStart"/>
      <w:r w:rsidRPr="00CC20DE">
        <w:rPr>
          <w:sz w:val="12"/>
          <w:szCs w:val="12"/>
        </w:rPr>
        <w:t>Вурнарского</w:t>
      </w:r>
      <w:proofErr w:type="spellEnd"/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 района Чувашской Республики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УТВЕРЖДАЮ: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Глава администрации </w:t>
      </w:r>
      <w:proofErr w:type="gramStart"/>
      <w:r w:rsidRPr="00CC20DE">
        <w:rPr>
          <w:sz w:val="12"/>
          <w:szCs w:val="12"/>
        </w:rPr>
        <w:t>Калининского</w:t>
      </w:r>
      <w:proofErr w:type="gramEnd"/>
      <w:r w:rsidRPr="00CC20DE">
        <w:rPr>
          <w:sz w:val="12"/>
          <w:szCs w:val="12"/>
        </w:rPr>
        <w:t xml:space="preserve"> 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сельского поселения </w:t>
      </w:r>
      <w:proofErr w:type="spellStart"/>
      <w:r w:rsidRPr="00CC20DE">
        <w:rPr>
          <w:sz w:val="12"/>
          <w:szCs w:val="12"/>
        </w:rPr>
        <w:t>Вурнарского</w:t>
      </w:r>
      <w:proofErr w:type="spellEnd"/>
      <w:r w:rsidRPr="00CC20DE">
        <w:rPr>
          <w:sz w:val="12"/>
          <w:szCs w:val="12"/>
        </w:rPr>
        <w:t xml:space="preserve"> района 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Чувашской Республики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                        ________          ________________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  (подпись)         (расшифровка подписи)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«___» _______ 20 __ г.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</w:p>
    <w:p w:rsidR="00CC20DE" w:rsidRPr="00CC20DE" w:rsidRDefault="00CC20DE" w:rsidP="00CC20DE">
      <w:pPr>
        <w:ind w:firstLine="360"/>
        <w:jc w:val="center"/>
        <w:rPr>
          <w:b/>
          <w:sz w:val="12"/>
          <w:szCs w:val="12"/>
        </w:rPr>
      </w:pPr>
      <w:r w:rsidRPr="00CC20DE">
        <w:rPr>
          <w:b/>
          <w:sz w:val="12"/>
          <w:szCs w:val="12"/>
        </w:rPr>
        <w:t xml:space="preserve">Реестр </w:t>
      </w:r>
    </w:p>
    <w:p w:rsidR="00CC20DE" w:rsidRPr="00CC20DE" w:rsidRDefault="00CC20DE" w:rsidP="00CC20DE">
      <w:pPr>
        <w:ind w:firstLine="360"/>
        <w:jc w:val="center"/>
        <w:rPr>
          <w:b/>
          <w:sz w:val="12"/>
          <w:szCs w:val="12"/>
        </w:rPr>
      </w:pPr>
      <w:r w:rsidRPr="00CC20DE">
        <w:rPr>
          <w:b/>
          <w:sz w:val="12"/>
          <w:szCs w:val="12"/>
        </w:rPr>
        <w:t xml:space="preserve">муниципальных служащих Калининского сельского поселения </w:t>
      </w:r>
      <w:proofErr w:type="spellStart"/>
      <w:r w:rsidRPr="00CC20DE">
        <w:rPr>
          <w:b/>
          <w:sz w:val="12"/>
          <w:szCs w:val="12"/>
        </w:rPr>
        <w:t>Вурнарского</w:t>
      </w:r>
      <w:proofErr w:type="spellEnd"/>
      <w:r w:rsidRPr="00CC20DE">
        <w:rPr>
          <w:b/>
          <w:sz w:val="12"/>
          <w:szCs w:val="12"/>
        </w:rPr>
        <w:t xml:space="preserve"> района Чувашской Республики</w:t>
      </w:r>
    </w:p>
    <w:p w:rsidR="00CC20DE" w:rsidRPr="00CC20DE" w:rsidRDefault="00CC20DE" w:rsidP="00CC20DE">
      <w:pPr>
        <w:ind w:firstLine="360"/>
        <w:jc w:val="center"/>
        <w:rPr>
          <w:b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276"/>
        <w:gridCol w:w="1134"/>
        <w:gridCol w:w="992"/>
        <w:gridCol w:w="1701"/>
        <w:gridCol w:w="1276"/>
        <w:gridCol w:w="1275"/>
      </w:tblGrid>
      <w:tr w:rsidR="00CC20DE" w:rsidRPr="00CC20DE" w:rsidTr="005C34E2">
        <w:tc>
          <w:tcPr>
            <w:tcW w:w="6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 xml:space="preserve">№ </w:t>
            </w:r>
            <w:proofErr w:type="gramStart"/>
            <w:r w:rsidRPr="00CC20DE">
              <w:rPr>
                <w:rFonts w:eastAsia="Calibri"/>
                <w:sz w:val="12"/>
                <w:szCs w:val="12"/>
              </w:rPr>
              <w:t>п</w:t>
            </w:r>
            <w:proofErr w:type="gramEnd"/>
            <w:r w:rsidRPr="00CC20DE">
              <w:rPr>
                <w:rFonts w:eastAsia="Calibri"/>
                <w:sz w:val="12"/>
                <w:szCs w:val="12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 xml:space="preserve">Фамилия, имя, отчество (последнее при наличии) </w:t>
            </w: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Дата рождения 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 xml:space="preserve">Наименование органа местного самоуправления, наименование структурного подразделения с правами юридического лица </w:t>
            </w:r>
          </w:p>
        </w:tc>
        <w:tc>
          <w:tcPr>
            <w:tcW w:w="1134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Группа должностей</w:t>
            </w: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Замещаемая должность (номер, дата акта о назначении на должность)</w:t>
            </w:r>
          </w:p>
        </w:tc>
        <w:tc>
          <w:tcPr>
            <w:tcW w:w="1701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Сведения о профессиональном образовании (наименование и дата окончания образовательного учреждения, специальность и квалификация по диплому)</w:t>
            </w: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Дата поступления на муниципальную службу (число, месяц, год)</w:t>
            </w:r>
          </w:p>
        </w:tc>
        <w:tc>
          <w:tcPr>
            <w:tcW w:w="12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Стаж муниципальной службы</w:t>
            </w:r>
          </w:p>
        </w:tc>
      </w:tr>
      <w:tr w:rsidR="00CC20DE" w:rsidRPr="00CC20DE" w:rsidTr="005C34E2">
        <w:tc>
          <w:tcPr>
            <w:tcW w:w="6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  <w:r w:rsidRPr="00CC20DE">
              <w:rPr>
                <w:rFonts w:eastAsia="Calibri"/>
                <w:sz w:val="12"/>
                <w:szCs w:val="12"/>
              </w:rPr>
              <w:t>9</w:t>
            </w:r>
          </w:p>
        </w:tc>
      </w:tr>
      <w:tr w:rsidR="00CC20DE" w:rsidRPr="00CC20DE" w:rsidTr="005C34E2">
        <w:tc>
          <w:tcPr>
            <w:tcW w:w="6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CC20DE" w:rsidRPr="00CC20DE" w:rsidRDefault="00CC20DE" w:rsidP="00CC20DE">
      <w:pPr>
        <w:ind w:firstLine="360"/>
        <w:jc w:val="center"/>
        <w:rPr>
          <w:b/>
          <w:sz w:val="12"/>
          <w:szCs w:val="12"/>
        </w:rPr>
      </w:pPr>
    </w:p>
    <w:p w:rsidR="00CC20DE" w:rsidRPr="00CC20DE" w:rsidRDefault="00CC20DE" w:rsidP="00CC20DE">
      <w:pPr>
        <w:ind w:firstLine="360"/>
        <w:rPr>
          <w:sz w:val="12"/>
          <w:szCs w:val="12"/>
        </w:rPr>
      </w:pPr>
      <w:r w:rsidRPr="00CC20DE">
        <w:rPr>
          <w:sz w:val="12"/>
          <w:szCs w:val="12"/>
        </w:rPr>
        <w:t xml:space="preserve">Глава </w:t>
      </w:r>
      <w:proofErr w:type="gramStart"/>
      <w:r w:rsidRPr="00CC20DE">
        <w:rPr>
          <w:sz w:val="12"/>
          <w:szCs w:val="12"/>
        </w:rPr>
        <w:t>Калининского</w:t>
      </w:r>
      <w:proofErr w:type="gramEnd"/>
      <w:r w:rsidRPr="00CC20DE">
        <w:rPr>
          <w:sz w:val="12"/>
          <w:szCs w:val="12"/>
        </w:rPr>
        <w:t xml:space="preserve"> сельского</w:t>
      </w:r>
    </w:p>
    <w:p w:rsidR="00CC20DE" w:rsidRPr="00CC20DE" w:rsidRDefault="00CC20DE" w:rsidP="00CC20DE">
      <w:pPr>
        <w:ind w:firstLine="360"/>
        <w:rPr>
          <w:sz w:val="12"/>
          <w:szCs w:val="12"/>
        </w:rPr>
      </w:pPr>
      <w:r w:rsidRPr="00CC20DE">
        <w:rPr>
          <w:sz w:val="12"/>
          <w:szCs w:val="12"/>
        </w:rPr>
        <w:t xml:space="preserve">поселения </w:t>
      </w:r>
      <w:proofErr w:type="spellStart"/>
      <w:r w:rsidRPr="00CC20DE">
        <w:rPr>
          <w:sz w:val="12"/>
          <w:szCs w:val="12"/>
        </w:rPr>
        <w:t>Вурнарского</w:t>
      </w:r>
      <w:proofErr w:type="spellEnd"/>
      <w:r w:rsidRPr="00CC20DE">
        <w:rPr>
          <w:sz w:val="12"/>
          <w:szCs w:val="12"/>
        </w:rPr>
        <w:t xml:space="preserve"> района</w:t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  <w:t xml:space="preserve">__________ </w:t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  <w:t>__________________</w:t>
      </w:r>
    </w:p>
    <w:p w:rsidR="00CC20DE" w:rsidRPr="00CC20DE" w:rsidRDefault="00CC20DE" w:rsidP="00CC20DE">
      <w:pPr>
        <w:ind w:firstLine="708"/>
        <w:rPr>
          <w:sz w:val="12"/>
          <w:szCs w:val="12"/>
        </w:rPr>
      </w:pPr>
      <w:r w:rsidRPr="00CC20DE">
        <w:rPr>
          <w:sz w:val="12"/>
          <w:szCs w:val="12"/>
        </w:rPr>
        <w:t xml:space="preserve"> </w:t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  <w:t xml:space="preserve">     (подпись)</w:t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</w:r>
      <w:r w:rsidRPr="00CC20DE">
        <w:rPr>
          <w:sz w:val="12"/>
          <w:szCs w:val="12"/>
        </w:rPr>
        <w:tab/>
        <w:t xml:space="preserve">  (расшифровка подписи)</w:t>
      </w:r>
    </w:p>
    <w:p w:rsidR="00CC20DE" w:rsidRPr="00CC20DE" w:rsidRDefault="00CC20DE" w:rsidP="00CC20DE">
      <w:pPr>
        <w:ind w:firstLine="708"/>
        <w:rPr>
          <w:sz w:val="12"/>
          <w:szCs w:val="12"/>
        </w:rPr>
      </w:pP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Приложение № 2 к Положению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о порядке ведения реестра муниципальных служащих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>в Калининском сельском поселении</w:t>
      </w:r>
    </w:p>
    <w:p w:rsidR="00CC20DE" w:rsidRPr="00CC20DE" w:rsidRDefault="00CC20DE" w:rsidP="00CC20DE">
      <w:pPr>
        <w:ind w:left="426"/>
        <w:contextualSpacing/>
        <w:jc w:val="right"/>
        <w:rPr>
          <w:sz w:val="12"/>
          <w:szCs w:val="12"/>
        </w:rPr>
      </w:pPr>
      <w:r w:rsidRPr="00CC20DE">
        <w:rPr>
          <w:sz w:val="12"/>
          <w:szCs w:val="12"/>
        </w:rPr>
        <w:t xml:space="preserve"> </w:t>
      </w:r>
      <w:proofErr w:type="spellStart"/>
      <w:r w:rsidRPr="00CC20DE">
        <w:rPr>
          <w:sz w:val="12"/>
          <w:szCs w:val="12"/>
        </w:rPr>
        <w:t>Вурнарского</w:t>
      </w:r>
      <w:proofErr w:type="spellEnd"/>
      <w:r w:rsidRPr="00CC20DE">
        <w:rPr>
          <w:sz w:val="12"/>
          <w:szCs w:val="12"/>
        </w:rPr>
        <w:t xml:space="preserve"> района Чувашской Республики</w:t>
      </w:r>
    </w:p>
    <w:p w:rsidR="00CC20DE" w:rsidRPr="00CC20DE" w:rsidRDefault="00CC20DE" w:rsidP="00CC20DE">
      <w:pPr>
        <w:ind w:firstLine="708"/>
        <w:rPr>
          <w:sz w:val="12"/>
          <w:szCs w:val="12"/>
        </w:rPr>
      </w:pPr>
    </w:p>
    <w:p w:rsidR="00CC20DE" w:rsidRPr="00CC20DE" w:rsidRDefault="00CC20DE" w:rsidP="00CC20DE">
      <w:pPr>
        <w:ind w:firstLine="708"/>
        <w:rPr>
          <w:sz w:val="12"/>
          <w:szCs w:val="12"/>
        </w:rPr>
      </w:pPr>
    </w:p>
    <w:p w:rsidR="00CC20DE" w:rsidRPr="00CC20DE" w:rsidRDefault="00CC20DE" w:rsidP="00CC20DE">
      <w:pPr>
        <w:ind w:firstLine="708"/>
        <w:jc w:val="center"/>
        <w:rPr>
          <w:b/>
          <w:sz w:val="14"/>
          <w:szCs w:val="14"/>
        </w:rPr>
      </w:pPr>
      <w:r w:rsidRPr="00CC20DE">
        <w:rPr>
          <w:b/>
          <w:sz w:val="14"/>
          <w:szCs w:val="14"/>
        </w:rPr>
        <w:t xml:space="preserve">Сведения </w:t>
      </w:r>
    </w:p>
    <w:p w:rsidR="00CC20DE" w:rsidRPr="00CC20DE" w:rsidRDefault="00CC20DE" w:rsidP="00CC20DE">
      <w:pPr>
        <w:ind w:firstLine="708"/>
        <w:jc w:val="center"/>
        <w:rPr>
          <w:b/>
          <w:sz w:val="14"/>
          <w:szCs w:val="14"/>
        </w:rPr>
      </w:pPr>
      <w:r w:rsidRPr="00CC20DE">
        <w:rPr>
          <w:b/>
          <w:sz w:val="14"/>
          <w:szCs w:val="14"/>
        </w:rPr>
        <w:t xml:space="preserve">об изменениях учетных данных муниципальных служащих </w:t>
      </w:r>
    </w:p>
    <w:p w:rsidR="00CC20DE" w:rsidRPr="00CC20DE" w:rsidRDefault="00CC20DE" w:rsidP="00CC20DE">
      <w:pPr>
        <w:ind w:firstLine="708"/>
        <w:jc w:val="center"/>
        <w:rPr>
          <w:b/>
          <w:sz w:val="14"/>
          <w:szCs w:val="14"/>
        </w:rPr>
      </w:pPr>
      <w:r w:rsidRPr="00CC20DE">
        <w:rPr>
          <w:b/>
          <w:sz w:val="14"/>
          <w:szCs w:val="14"/>
        </w:rPr>
        <w:t xml:space="preserve">Калининского сельского поселения </w:t>
      </w:r>
      <w:proofErr w:type="spellStart"/>
      <w:r w:rsidRPr="00CC20DE">
        <w:rPr>
          <w:b/>
          <w:sz w:val="14"/>
          <w:szCs w:val="14"/>
        </w:rPr>
        <w:t>Вурнарского</w:t>
      </w:r>
      <w:proofErr w:type="spellEnd"/>
      <w:r w:rsidRPr="00CC20DE">
        <w:rPr>
          <w:b/>
          <w:sz w:val="14"/>
          <w:szCs w:val="14"/>
        </w:rPr>
        <w:t xml:space="preserve"> района Чувашской Республики</w:t>
      </w:r>
    </w:p>
    <w:p w:rsidR="00CC20DE" w:rsidRPr="00CC20DE" w:rsidRDefault="00CC20DE" w:rsidP="00CC20DE">
      <w:pPr>
        <w:ind w:firstLine="708"/>
        <w:jc w:val="center"/>
        <w:rPr>
          <w:b/>
          <w:sz w:val="14"/>
          <w:szCs w:val="14"/>
        </w:rPr>
      </w:pPr>
    </w:p>
    <w:p w:rsidR="00CC20DE" w:rsidRPr="00CC20DE" w:rsidRDefault="00CC20DE" w:rsidP="00CC20DE">
      <w:pPr>
        <w:ind w:firstLine="708"/>
        <w:jc w:val="center"/>
        <w:rPr>
          <w:sz w:val="14"/>
          <w:szCs w:val="14"/>
        </w:rPr>
      </w:pPr>
      <w:r w:rsidRPr="00CC20DE">
        <w:rPr>
          <w:sz w:val="14"/>
          <w:szCs w:val="14"/>
        </w:rPr>
        <w:t xml:space="preserve">с «___» ____________ 20__ г. </w:t>
      </w:r>
      <w:r w:rsidRPr="00CC20DE">
        <w:rPr>
          <w:sz w:val="14"/>
          <w:szCs w:val="14"/>
        </w:rPr>
        <w:tab/>
        <w:t>по «___»____________ 20__ г.</w:t>
      </w:r>
    </w:p>
    <w:p w:rsidR="00CC20DE" w:rsidRPr="00CC20DE" w:rsidRDefault="00CC20DE" w:rsidP="00CC20DE">
      <w:pPr>
        <w:ind w:firstLine="708"/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035"/>
        <w:gridCol w:w="1615"/>
        <w:gridCol w:w="2115"/>
      </w:tblGrid>
      <w:tr w:rsidR="00CC20DE" w:rsidRPr="00CC20DE" w:rsidTr="005C34E2">
        <w:tc>
          <w:tcPr>
            <w:tcW w:w="10276" w:type="dxa"/>
            <w:gridSpan w:val="4"/>
            <w:shd w:val="clear" w:color="auto" w:fill="auto"/>
          </w:tcPr>
          <w:p w:rsidR="00CC20DE" w:rsidRPr="00CC20DE" w:rsidRDefault="00CC20DE" w:rsidP="005C34E2">
            <w:pPr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Вновь </w:t>
            </w:r>
            <w:proofErr w:type="gramStart"/>
            <w:r w:rsidRPr="00CC20DE">
              <w:rPr>
                <w:rFonts w:eastAsia="Calibri"/>
                <w:sz w:val="14"/>
                <w:szCs w:val="14"/>
              </w:rPr>
              <w:t>приняты</w:t>
            </w:r>
            <w:proofErr w:type="gramEnd"/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Фамилия, имя, отчество (последнее при наличии)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Должность, структурное подразделение</w:t>
            </w: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Дата и основание назначения на муниципальную службу</w:t>
            </w: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10276" w:type="dxa"/>
            <w:gridSpan w:val="4"/>
            <w:shd w:val="clear" w:color="auto" w:fill="auto"/>
          </w:tcPr>
          <w:p w:rsidR="00CC20DE" w:rsidRPr="00CC20DE" w:rsidRDefault="00CC20DE" w:rsidP="005C34E2">
            <w:pPr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Уволены</w:t>
            </w: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Фамилия, имя, отчество (последнее при наличии)</w:t>
            </w:r>
          </w:p>
        </w:tc>
        <w:tc>
          <w:tcPr>
            <w:tcW w:w="275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Должность, структурное подразделение </w:t>
            </w:r>
          </w:p>
        </w:tc>
        <w:tc>
          <w:tcPr>
            <w:tcW w:w="215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Дата увольнения</w:t>
            </w: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Основание</w:t>
            </w: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75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15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75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15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752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156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10276" w:type="dxa"/>
            <w:gridSpan w:val="4"/>
            <w:shd w:val="clear" w:color="auto" w:fill="auto"/>
          </w:tcPr>
          <w:p w:rsidR="00CC20DE" w:rsidRPr="00CC20DE" w:rsidRDefault="00CC20DE" w:rsidP="005C34E2">
            <w:pPr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Иные изменения</w:t>
            </w: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Фамилия, имя, отчество (последнее при наличии)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Содержание изменений</w:t>
            </w: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Дата и основание изменений</w:t>
            </w: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CC20DE" w:rsidRPr="00CC20DE" w:rsidTr="005C34E2">
        <w:tc>
          <w:tcPr>
            <w:tcW w:w="254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19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CC20DE" w:rsidRPr="00CC20DE" w:rsidRDefault="00CC20DE" w:rsidP="00CC20DE">
      <w:pPr>
        <w:ind w:firstLine="708"/>
        <w:jc w:val="center"/>
        <w:rPr>
          <w:sz w:val="14"/>
          <w:szCs w:val="14"/>
        </w:rPr>
      </w:pPr>
    </w:p>
    <w:p w:rsidR="00CC20DE" w:rsidRPr="00CC20DE" w:rsidRDefault="00CC20DE" w:rsidP="00CC20DE">
      <w:pPr>
        <w:ind w:firstLine="708"/>
        <w:jc w:val="center"/>
        <w:rPr>
          <w:sz w:val="14"/>
          <w:szCs w:val="14"/>
        </w:rPr>
      </w:pPr>
    </w:p>
    <w:p w:rsidR="00CC20DE" w:rsidRPr="00CC20DE" w:rsidRDefault="00CC20DE" w:rsidP="00CC20DE">
      <w:pPr>
        <w:ind w:firstLine="708"/>
        <w:jc w:val="center"/>
        <w:rPr>
          <w:sz w:val="14"/>
          <w:szCs w:val="14"/>
        </w:rPr>
      </w:pPr>
    </w:p>
    <w:p w:rsidR="00CC20DE" w:rsidRPr="00CC20DE" w:rsidRDefault="00CC20DE" w:rsidP="00CC20DE">
      <w:pPr>
        <w:rPr>
          <w:sz w:val="14"/>
          <w:szCs w:val="14"/>
        </w:rPr>
      </w:pPr>
      <w:r w:rsidRPr="00CC20DE">
        <w:rPr>
          <w:sz w:val="14"/>
          <w:szCs w:val="14"/>
        </w:rPr>
        <w:t xml:space="preserve">Руководитель 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__________ 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>__________________</w:t>
      </w:r>
    </w:p>
    <w:p w:rsidR="00CC20DE" w:rsidRPr="00CC20DE" w:rsidRDefault="00CC20DE" w:rsidP="00CC20DE">
      <w:pPr>
        <w:ind w:firstLine="708"/>
        <w:rPr>
          <w:sz w:val="14"/>
          <w:szCs w:val="14"/>
        </w:rPr>
      </w:pP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  (подпись)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(расшифровка подписи)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   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</w:t>
      </w:r>
    </w:p>
    <w:p w:rsidR="00CC20DE" w:rsidRPr="00CC20DE" w:rsidRDefault="00CC20DE" w:rsidP="00CC20DE">
      <w:pPr>
        <w:ind w:firstLine="708"/>
        <w:jc w:val="both"/>
        <w:rPr>
          <w:sz w:val="14"/>
          <w:szCs w:val="14"/>
        </w:rPr>
      </w:pPr>
      <w:r w:rsidRPr="00CC20DE">
        <w:rPr>
          <w:sz w:val="14"/>
          <w:szCs w:val="14"/>
        </w:rPr>
        <w:lastRenderedPageBreak/>
        <w:t>М.П.</w:t>
      </w:r>
    </w:p>
    <w:p w:rsidR="00CC20DE" w:rsidRPr="00CC20DE" w:rsidRDefault="00CC20DE" w:rsidP="00CC20DE">
      <w:pPr>
        <w:ind w:firstLine="708"/>
        <w:jc w:val="both"/>
        <w:rPr>
          <w:sz w:val="14"/>
          <w:szCs w:val="14"/>
        </w:rPr>
      </w:pPr>
    </w:p>
    <w:p w:rsidR="00CC20DE" w:rsidRPr="00CC20DE" w:rsidRDefault="00CC20DE" w:rsidP="00CC20DE">
      <w:pPr>
        <w:ind w:firstLine="708"/>
        <w:jc w:val="both"/>
        <w:rPr>
          <w:sz w:val="14"/>
          <w:szCs w:val="14"/>
        </w:rPr>
      </w:pPr>
    </w:p>
    <w:p w:rsidR="00CC20DE" w:rsidRPr="00CC20DE" w:rsidRDefault="00CC20DE" w:rsidP="00CC20DE">
      <w:pPr>
        <w:ind w:firstLine="708"/>
        <w:jc w:val="both"/>
        <w:rPr>
          <w:sz w:val="14"/>
          <w:szCs w:val="14"/>
        </w:rPr>
      </w:pPr>
    </w:p>
    <w:p w:rsidR="00B12B5A" w:rsidRPr="00CC20DE" w:rsidRDefault="00CC20DE" w:rsidP="00CC20DE">
      <w:pPr>
        <w:contextualSpacing/>
        <w:jc w:val="both"/>
        <w:rPr>
          <w:sz w:val="14"/>
          <w:szCs w:val="14"/>
        </w:rPr>
      </w:pPr>
      <w:r w:rsidRPr="00CC20DE">
        <w:rPr>
          <w:sz w:val="14"/>
          <w:szCs w:val="14"/>
        </w:rPr>
        <w:t>Работник кадровой службы</w:t>
      </w:r>
      <w:r w:rsidRPr="00CC20DE">
        <w:rPr>
          <w:sz w:val="14"/>
          <w:szCs w:val="14"/>
        </w:rPr>
        <w:tab/>
        <w:t xml:space="preserve">              __________ __________ </w:t>
      </w:r>
      <w:r w:rsidRPr="00CC20DE">
        <w:rPr>
          <w:sz w:val="14"/>
          <w:szCs w:val="14"/>
        </w:rPr>
        <w:tab/>
        <w:t>__________________</w:t>
      </w:r>
    </w:p>
    <w:p w:rsidR="00CC20DE" w:rsidRPr="00CC20DE" w:rsidRDefault="00CC20DE" w:rsidP="00CC20DE">
      <w:pPr>
        <w:contextualSpacing/>
        <w:jc w:val="both"/>
        <w:rPr>
          <w:sz w:val="14"/>
          <w:szCs w:val="14"/>
        </w:rPr>
      </w:pPr>
    </w:p>
    <w:p w:rsidR="00CC20DE" w:rsidRPr="00CC20DE" w:rsidRDefault="00CC20DE" w:rsidP="00CC20DE">
      <w:pPr>
        <w:ind w:left="426"/>
        <w:contextualSpacing/>
        <w:jc w:val="right"/>
        <w:rPr>
          <w:sz w:val="14"/>
          <w:szCs w:val="14"/>
        </w:rPr>
      </w:pPr>
      <w:r w:rsidRPr="00CC20DE">
        <w:rPr>
          <w:sz w:val="14"/>
          <w:szCs w:val="14"/>
        </w:rPr>
        <w:t>Приложение № 3 к Положению</w:t>
      </w:r>
    </w:p>
    <w:p w:rsidR="00CC20DE" w:rsidRPr="00CC20DE" w:rsidRDefault="00CC20DE" w:rsidP="00CC20DE">
      <w:pPr>
        <w:ind w:left="426"/>
        <w:contextualSpacing/>
        <w:jc w:val="right"/>
        <w:rPr>
          <w:sz w:val="14"/>
          <w:szCs w:val="14"/>
        </w:rPr>
      </w:pPr>
      <w:r w:rsidRPr="00CC20DE">
        <w:rPr>
          <w:sz w:val="14"/>
          <w:szCs w:val="14"/>
        </w:rPr>
        <w:t>о порядке ведения реестра муниципальных служащих</w:t>
      </w:r>
    </w:p>
    <w:p w:rsidR="00CC20DE" w:rsidRPr="00CC20DE" w:rsidRDefault="00CC20DE" w:rsidP="00CC20DE">
      <w:pPr>
        <w:ind w:left="426"/>
        <w:contextualSpacing/>
        <w:jc w:val="right"/>
        <w:rPr>
          <w:sz w:val="14"/>
          <w:szCs w:val="14"/>
        </w:rPr>
      </w:pPr>
      <w:r w:rsidRPr="00CC20DE">
        <w:rPr>
          <w:sz w:val="14"/>
          <w:szCs w:val="14"/>
        </w:rPr>
        <w:t xml:space="preserve">в Калининском сельском поселении </w:t>
      </w:r>
      <w:proofErr w:type="spellStart"/>
      <w:r w:rsidRPr="00CC20DE">
        <w:rPr>
          <w:sz w:val="14"/>
          <w:szCs w:val="14"/>
        </w:rPr>
        <w:t>Вурнарского</w:t>
      </w:r>
      <w:proofErr w:type="spellEnd"/>
    </w:p>
    <w:p w:rsidR="00CC20DE" w:rsidRPr="00CC20DE" w:rsidRDefault="00CC20DE" w:rsidP="00CC20DE">
      <w:pPr>
        <w:ind w:left="426"/>
        <w:contextualSpacing/>
        <w:jc w:val="right"/>
        <w:rPr>
          <w:sz w:val="14"/>
          <w:szCs w:val="14"/>
        </w:rPr>
      </w:pPr>
      <w:r w:rsidRPr="00CC20DE">
        <w:rPr>
          <w:sz w:val="14"/>
          <w:szCs w:val="14"/>
        </w:rPr>
        <w:t xml:space="preserve"> района Чувашской Республики</w:t>
      </w:r>
    </w:p>
    <w:p w:rsidR="00CC20DE" w:rsidRPr="00CC20DE" w:rsidRDefault="00CC20DE" w:rsidP="00CC20DE">
      <w:pPr>
        <w:jc w:val="both"/>
        <w:rPr>
          <w:sz w:val="14"/>
          <w:szCs w:val="14"/>
        </w:rPr>
      </w:pPr>
    </w:p>
    <w:p w:rsidR="00CC20DE" w:rsidRPr="00CC20DE" w:rsidRDefault="00CC20DE" w:rsidP="00CC20DE">
      <w:pPr>
        <w:jc w:val="both"/>
        <w:rPr>
          <w:b/>
          <w:sz w:val="14"/>
          <w:szCs w:val="14"/>
        </w:rPr>
      </w:pPr>
    </w:p>
    <w:p w:rsidR="00CC20DE" w:rsidRPr="00CC20DE" w:rsidRDefault="00CC20DE" w:rsidP="00CC20DE">
      <w:pPr>
        <w:jc w:val="center"/>
        <w:rPr>
          <w:b/>
          <w:sz w:val="14"/>
          <w:szCs w:val="14"/>
        </w:rPr>
      </w:pPr>
      <w:r w:rsidRPr="00CC20DE">
        <w:rPr>
          <w:b/>
          <w:sz w:val="14"/>
          <w:szCs w:val="14"/>
        </w:rPr>
        <w:t xml:space="preserve">Список </w:t>
      </w:r>
    </w:p>
    <w:p w:rsidR="00CC20DE" w:rsidRPr="00CC20DE" w:rsidRDefault="00CC20DE" w:rsidP="00CC20DE">
      <w:pPr>
        <w:jc w:val="center"/>
        <w:rPr>
          <w:b/>
          <w:sz w:val="14"/>
          <w:szCs w:val="14"/>
        </w:rPr>
      </w:pPr>
      <w:r w:rsidRPr="00CC20DE">
        <w:rPr>
          <w:b/>
          <w:sz w:val="14"/>
          <w:szCs w:val="14"/>
        </w:rPr>
        <w:t xml:space="preserve">муниципальных служащих, исключенных из реестра муниципальных служащих Калининского сельского поселения </w:t>
      </w:r>
      <w:proofErr w:type="spellStart"/>
      <w:r w:rsidRPr="00CC20DE">
        <w:rPr>
          <w:b/>
          <w:sz w:val="14"/>
          <w:szCs w:val="14"/>
        </w:rPr>
        <w:t>Вурнарского</w:t>
      </w:r>
      <w:proofErr w:type="spellEnd"/>
      <w:r w:rsidRPr="00CC20DE">
        <w:rPr>
          <w:b/>
          <w:sz w:val="14"/>
          <w:szCs w:val="14"/>
        </w:rPr>
        <w:t xml:space="preserve"> района Чувашской Республики</w:t>
      </w:r>
    </w:p>
    <w:p w:rsidR="00CC20DE" w:rsidRPr="00CC20DE" w:rsidRDefault="00CC20DE" w:rsidP="00CC20DE">
      <w:pPr>
        <w:jc w:val="center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48"/>
        <w:gridCol w:w="998"/>
        <w:gridCol w:w="1296"/>
        <w:gridCol w:w="1175"/>
        <w:gridCol w:w="1177"/>
        <w:gridCol w:w="1175"/>
      </w:tblGrid>
      <w:tr w:rsidR="00CC20DE" w:rsidRPr="00CC20DE" w:rsidTr="005C34E2"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№ </w:t>
            </w:r>
            <w:proofErr w:type="gramStart"/>
            <w:r w:rsidRPr="00CC20DE">
              <w:rPr>
                <w:rFonts w:eastAsia="Calibri"/>
                <w:sz w:val="14"/>
                <w:szCs w:val="14"/>
              </w:rPr>
              <w:t>п</w:t>
            </w:r>
            <w:proofErr w:type="gramEnd"/>
            <w:r w:rsidRPr="00CC20DE">
              <w:rPr>
                <w:rFonts w:eastAsia="Calibri"/>
                <w:sz w:val="14"/>
                <w:szCs w:val="14"/>
              </w:rPr>
              <w:t>/п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Фамилия, имя, отчество (последнее при наличии) 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Дата рождения (число, месяц, год)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Наименование органа местного самоуправления, наименование структурного подразделения с правами юридического лица 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Замещаемая должность на дату увольнения (прекращение трудового договора)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Дата увольнения (прекращения трудового договора)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 xml:space="preserve">Основание увольнения (прекращение трудового договора): дата и номер </w:t>
            </w:r>
          </w:p>
        </w:tc>
      </w:tr>
      <w:tr w:rsidR="00CC20DE" w:rsidRPr="00CC20DE" w:rsidTr="005C34E2"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sz w:val="14"/>
                <w:szCs w:val="14"/>
              </w:rPr>
            </w:pPr>
            <w:r w:rsidRPr="00CC20DE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CC20DE" w:rsidRPr="00CC20DE" w:rsidTr="005C34E2"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</w:tcPr>
          <w:p w:rsidR="00CC20DE" w:rsidRPr="00CC20DE" w:rsidRDefault="00CC20DE" w:rsidP="005C34E2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:rsidR="00CC20DE" w:rsidRPr="00CC20DE" w:rsidRDefault="00CC20DE" w:rsidP="00CC20DE">
      <w:pPr>
        <w:jc w:val="center"/>
        <w:rPr>
          <w:sz w:val="14"/>
          <w:szCs w:val="14"/>
        </w:rPr>
      </w:pPr>
    </w:p>
    <w:p w:rsidR="00CC20DE" w:rsidRPr="00CC20DE" w:rsidRDefault="00CC20DE" w:rsidP="00CC20DE">
      <w:pPr>
        <w:jc w:val="center"/>
        <w:rPr>
          <w:sz w:val="14"/>
          <w:szCs w:val="14"/>
        </w:rPr>
      </w:pPr>
    </w:p>
    <w:p w:rsidR="00CC20DE" w:rsidRPr="00CC20DE" w:rsidRDefault="00CC20DE" w:rsidP="00CC20DE">
      <w:pPr>
        <w:jc w:val="center"/>
        <w:rPr>
          <w:sz w:val="14"/>
          <w:szCs w:val="14"/>
        </w:rPr>
      </w:pPr>
    </w:p>
    <w:p w:rsidR="00CC20DE" w:rsidRPr="00CC20DE" w:rsidRDefault="00CC20DE" w:rsidP="00CC20DE">
      <w:pPr>
        <w:rPr>
          <w:sz w:val="14"/>
          <w:szCs w:val="14"/>
        </w:rPr>
      </w:pPr>
      <w:r w:rsidRPr="00CC20DE">
        <w:rPr>
          <w:sz w:val="14"/>
          <w:szCs w:val="14"/>
        </w:rPr>
        <w:t>Работник  кадровой службы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__________ 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>__________________</w:t>
      </w:r>
    </w:p>
    <w:p w:rsidR="00CC20DE" w:rsidRPr="00CC20DE" w:rsidRDefault="00CC20DE" w:rsidP="00CC20DE">
      <w:pPr>
        <w:ind w:firstLine="708"/>
        <w:rPr>
          <w:sz w:val="14"/>
          <w:szCs w:val="14"/>
        </w:rPr>
      </w:pP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                                        (подпись)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(расшифровка подписи)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   </w:t>
      </w:r>
      <w:r w:rsidRPr="00CC20DE">
        <w:rPr>
          <w:sz w:val="14"/>
          <w:szCs w:val="14"/>
        </w:rPr>
        <w:tab/>
      </w:r>
      <w:r w:rsidRPr="00CC20DE">
        <w:rPr>
          <w:sz w:val="14"/>
          <w:szCs w:val="14"/>
        </w:rPr>
        <w:tab/>
        <w:t xml:space="preserve">  </w:t>
      </w:r>
    </w:p>
    <w:p w:rsidR="00CC20DE" w:rsidRPr="00CC20DE" w:rsidRDefault="00CC20DE" w:rsidP="00CC20DE">
      <w:pPr>
        <w:jc w:val="both"/>
        <w:rPr>
          <w:b/>
          <w:sz w:val="14"/>
          <w:szCs w:val="14"/>
        </w:rPr>
      </w:pPr>
      <w:r w:rsidRPr="00CC20DE">
        <w:rPr>
          <w:sz w:val="14"/>
          <w:szCs w:val="14"/>
        </w:rPr>
        <w:t>М.П.</w:t>
      </w:r>
    </w:p>
    <w:p w:rsidR="00CC20DE" w:rsidRPr="00B12B5A" w:rsidRDefault="00CC20DE" w:rsidP="00CC20DE">
      <w:pPr>
        <w:contextualSpacing/>
        <w:jc w:val="both"/>
        <w:rPr>
          <w:sz w:val="12"/>
          <w:szCs w:val="12"/>
        </w:rPr>
      </w:pPr>
    </w:p>
    <w:p w:rsidR="006F05C0" w:rsidRPr="00B12B5A" w:rsidRDefault="006F05C0" w:rsidP="006F05C0">
      <w:pPr>
        <w:rPr>
          <w:sz w:val="12"/>
          <w:szCs w:val="12"/>
        </w:rPr>
      </w:pPr>
    </w:p>
    <w:p w:rsidR="00982240" w:rsidRPr="006F05C0" w:rsidRDefault="00982240" w:rsidP="00982240">
      <w:pPr>
        <w:rPr>
          <w:sz w:val="12"/>
          <w:szCs w:val="1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>Редактор издани</w:t>
            </w:r>
            <w:proofErr w:type="gramStart"/>
            <w:r w:rsidRPr="009727A8">
              <w:rPr>
                <w:rFonts w:eastAsia="Calibri"/>
              </w:rPr>
              <w:t>я-</w:t>
            </w:r>
            <w:proofErr w:type="gramEnd"/>
            <w:r w:rsidRPr="009727A8">
              <w:rPr>
                <w:rFonts w:eastAsia="Calibri"/>
              </w:rPr>
              <w:t xml:space="preserve"> </w:t>
            </w:r>
            <w:proofErr w:type="spellStart"/>
            <w:r w:rsidRPr="009727A8">
              <w:rPr>
                <w:rFonts w:eastAsia="Calibri"/>
              </w:rPr>
              <w:t>А.Н.Константинова</w:t>
            </w:r>
            <w:proofErr w:type="spellEnd"/>
            <w:r w:rsidRPr="009727A8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9727A8">
              <w:rPr>
                <w:rFonts w:eastAsia="Calibri"/>
              </w:rPr>
              <w:t>Вурнарского</w:t>
            </w:r>
            <w:proofErr w:type="spellEnd"/>
            <w:r w:rsidRPr="009727A8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9727A8">
              <w:rPr>
                <w:rFonts w:eastAsia="Calibri"/>
              </w:rPr>
              <w:t>Вурнарский</w:t>
            </w:r>
            <w:proofErr w:type="spellEnd"/>
            <w:r w:rsidRPr="009727A8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9727A8" w:rsidRDefault="00511F70" w:rsidP="00511F70"/>
    <w:sectPr w:rsidR="00511F70" w:rsidRPr="009727A8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6" w:rsidRDefault="00D32FB6" w:rsidP="00A77045">
      <w:r>
        <w:separator/>
      </w:r>
    </w:p>
  </w:endnote>
  <w:endnote w:type="continuationSeparator" w:id="0">
    <w:p w:rsidR="00D32FB6" w:rsidRDefault="00D32FB6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6" w:rsidRDefault="00D32FB6" w:rsidP="00A77045">
      <w:r>
        <w:separator/>
      </w:r>
    </w:p>
  </w:footnote>
  <w:footnote w:type="continuationSeparator" w:id="0">
    <w:p w:rsidR="00D32FB6" w:rsidRDefault="00D32FB6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3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9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16"/>
  </w:num>
  <w:num w:numId="5">
    <w:abstractNumId w:val="27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36"/>
  </w:num>
  <w:num w:numId="16">
    <w:abstractNumId w:val="33"/>
  </w:num>
  <w:num w:numId="17">
    <w:abstractNumId w:val="2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29"/>
  </w:num>
  <w:num w:numId="23">
    <w:abstractNumId w:val="37"/>
  </w:num>
  <w:num w:numId="24">
    <w:abstractNumId w:val="22"/>
  </w:num>
  <w:num w:numId="25">
    <w:abstractNumId w:val="8"/>
  </w:num>
  <w:num w:numId="26">
    <w:abstractNumId w:val="23"/>
  </w:num>
  <w:num w:numId="27">
    <w:abstractNumId w:val="10"/>
  </w:num>
  <w:num w:numId="28">
    <w:abstractNumId w:val="3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3"/>
  </w:num>
  <w:num w:numId="33">
    <w:abstractNumId w:val="34"/>
  </w:num>
  <w:num w:numId="34">
    <w:abstractNumId w:val="28"/>
  </w:num>
  <w:num w:numId="35">
    <w:abstractNumId w:val="7"/>
  </w:num>
  <w:num w:numId="36">
    <w:abstractNumId w:val="6"/>
  </w:num>
  <w:num w:numId="37">
    <w:abstractNumId w:val="17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22E01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511F70"/>
    <w:rsid w:val="00513846"/>
    <w:rsid w:val="0052140D"/>
    <w:rsid w:val="00522128"/>
    <w:rsid w:val="00533A0E"/>
    <w:rsid w:val="00561CD7"/>
    <w:rsid w:val="00564802"/>
    <w:rsid w:val="005668F5"/>
    <w:rsid w:val="00567754"/>
    <w:rsid w:val="0057245C"/>
    <w:rsid w:val="00585F50"/>
    <w:rsid w:val="005A1BE7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52B83"/>
    <w:rsid w:val="00A603B1"/>
    <w:rsid w:val="00A7127D"/>
    <w:rsid w:val="00A75AE0"/>
    <w:rsid w:val="00A77045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B55A2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E6BA0"/>
    <w:rsid w:val="00CF7662"/>
    <w:rsid w:val="00D018B6"/>
    <w:rsid w:val="00D15F6C"/>
    <w:rsid w:val="00D16CB2"/>
    <w:rsid w:val="00D21B33"/>
    <w:rsid w:val="00D32014"/>
    <w:rsid w:val="00D32FB6"/>
    <w:rsid w:val="00D36BEE"/>
    <w:rsid w:val="00D4495A"/>
    <w:rsid w:val="00D45026"/>
    <w:rsid w:val="00D64EC6"/>
    <w:rsid w:val="00D7687B"/>
    <w:rsid w:val="00D80E1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97091-D94D-426A-A5AE-2670390F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2021-02-05T06:46:00Z</cp:lastPrinted>
  <dcterms:created xsi:type="dcterms:W3CDTF">2021-02-05T07:01:00Z</dcterms:created>
  <dcterms:modified xsi:type="dcterms:W3CDTF">2021-02-05T07:01:00Z</dcterms:modified>
</cp:coreProperties>
</file>