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0" w:rsidRPr="004816B0" w:rsidRDefault="004816B0" w:rsidP="004816B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</w:p>
    <w:p w:rsidR="004816B0" w:rsidRPr="004816B0" w:rsidRDefault="004816B0" w:rsidP="00481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4195"/>
        <w:gridCol w:w="1173"/>
        <w:gridCol w:w="4202"/>
      </w:tblGrid>
      <w:tr w:rsidR="004816B0" w:rsidRPr="004816B0" w:rsidTr="00B85A17">
        <w:trPr>
          <w:cantSplit/>
          <w:trHeight w:val="435"/>
        </w:trPr>
        <w:tc>
          <w:tcPr>
            <w:tcW w:w="4195" w:type="dxa"/>
          </w:tcPr>
          <w:p w:rsidR="004816B0" w:rsidRPr="004816B0" w:rsidRDefault="004816B0" w:rsidP="004816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816B0" w:rsidRPr="004816B0" w:rsidRDefault="004816B0" w:rsidP="004816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816B0" w:rsidRPr="004816B0" w:rsidRDefault="004816B0" w:rsidP="004816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816B0" w:rsidRPr="004816B0" w:rsidRDefault="004816B0" w:rsidP="004816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ПАТАРЬЕЛ  РАЙОНĚ</w:t>
            </w:r>
          </w:p>
        </w:tc>
        <w:tc>
          <w:tcPr>
            <w:tcW w:w="1173" w:type="dxa"/>
            <w:vMerge w:val="restart"/>
            <w:hideMark/>
          </w:tcPr>
          <w:p w:rsidR="004816B0" w:rsidRPr="004816B0" w:rsidRDefault="004816B0" w:rsidP="004816B0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БАТЫРЕВСКИЙ РАЙОН</w:t>
            </w:r>
          </w:p>
        </w:tc>
      </w:tr>
      <w:tr w:rsidR="004816B0" w:rsidRPr="004816B0" w:rsidTr="00B85A17">
        <w:trPr>
          <w:cantSplit/>
          <w:trHeight w:val="2325"/>
        </w:trPr>
        <w:tc>
          <w:tcPr>
            <w:tcW w:w="4195" w:type="dxa"/>
          </w:tcPr>
          <w:p w:rsidR="004816B0" w:rsidRPr="004816B0" w:rsidRDefault="004816B0" w:rsidP="004816B0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hi-IN" w:bidi="hi-IN"/>
              </w:rPr>
            </w:pPr>
          </w:p>
          <w:p w:rsidR="004816B0" w:rsidRPr="004816B0" w:rsidRDefault="004816B0" w:rsidP="004816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zh-CN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 xml:space="preserve">ЫХРА СЫРМИ  ЯЛ   ПОСЕЛЕНИЙĚН </w:t>
            </w:r>
            <w:r w:rsidRPr="0048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АДМИНИСТРАЦИЙĔ</w:t>
            </w:r>
          </w:p>
          <w:p w:rsidR="004816B0" w:rsidRPr="004816B0" w:rsidRDefault="004816B0" w:rsidP="004816B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«29</w:t>
            </w:r>
            <w:r w:rsidRPr="004816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» декабрь 2020 г. № 4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6</w:t>
            </w:r>
          </w:p>
          <w:p w:rsidR="004816B0" w:rsidRPr="004816B0" w:rsidRDefault="004816B0" w:rsidP="004816B0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zh-CN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  <w:hideMark/>
          </w:tcPr>
          <w:p w:rsidR="004816B0" w:rsidRPr="004816B0" w:rsidRDefault="004816B0" w:rsidP="004816B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202" w:type="dxa"/>
          </w:tcPr>
          <w:p w:rsidR="004816B0" w:rsidRPr="004816B0" w:rsidRDefault="004816B0" w:rsidP="004816B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ДОЛГООСТРОВСКОГО СЕЛЬСКОГО  ПОСЕЛЕНИЯ</w:t>
            </w: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4816B0" w:rsidRPr="004816B0" w:rsidRDefault="004816B0" w:rsidP="004816B0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zh-CN"/>
              </w:rPr>
            </w:pPr>
          </w:p>
          <w:p w:rsidR="004816B0" w:rsidRPr="004816B0" w:rsidRDefault="004816B0" w:rsidP="0048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«29</w:t>
            </w:r>
            <w:r w:rsidRPr="004816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декабря  2020г.  №46</w:t>
            </w:r>
          </w:p>
          <w:p w:rsidR="004816B0" w:rsidRPr="004816B0" w:rsidRDefault="004816B0" w:rsidP="004816B0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tt-RU" w:eastAsia="hi-IN" w:bidi="hi-IN"/>
              </w:rPr>
            </w:pPr>
            <w:r w:rsidRPr="004816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zh-CN"/>
              </w:rPr>
              <w:t>дер. Долгий Остров</w:t>
            </w:r>
          </w:p>
        </w:tc>
      </w:tr>
    </w:tbl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816B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4816B0">
        <w:rPr>
          <w:rFonts w:ascii="Times New Roman" w:hAnsi="Times New Roman" w:cs="Times New Roman"/>
          <w:b/>
          <w:sz w:val="24"/>
          <w:szCs w:val="24"/>
        </w:rPr>
        <w:t>Долгоостровского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поселения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района                                        Ч</w:t>
      </w:r>
      <w:r w:rsidRPr="004816B0">
        <w:rPr>
          <w:rFonts w:ascii="Times New Roman" w:hAnsi="Times New Roman" w:cs="Times New Roman"/>
          <w:b/>
          <w:sz w:val="24"/>
          <w:szCs w:val="24"/>
        </w:rPr>
        <w:t>увашской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"Выдача уведомления о соответствии (несоответствии построенных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816B0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реконструированных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b/>
          <w:sz w:val="24"/>
          <w:szCs w:val="24"/>
        </w:rPr>
        <w:t>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816B0">
        <w:rPr>
          <w:rFonts w:ascii="Times New Roman" w:hAnsi="Times New Roman" w:cs="Times New Roman"/>
          <w:b/>
          <w:sz w:val="24"/>
          <w:szCs w:val="24"/>
        </w:rPr>
        <w:t xml:space="preserve"> строительства или садового дома требованиям законодательства о градостроительной деятельности"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Федерации" от 03.08.2018 N 340-ФЗ,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ПОСТАНОВЛЯЕТ: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«Выдача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673E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73EC2">
        <w:rPr>
          <w:rFonts w:ascii="Times New Roman" w:hAnsi="Times New Roman" w:cs="Times New Roman"/>
          <w:sz w:val="24"/>
          <w:szCs w:val="24"/>
        </w:rPr>
        <w:t>Алиуллов</w:t>
      </w:r>
      <w:proofErr w:type="spellEnd"/>
      <w:r w:rsidR="00673EC2">
        <w:rPr>
          <w:rFonts w:ascii="Times New Roman" w:hAnsi="Times New Roman" w:cs="Times New Roman"/>
          <w:sz w:val="24"/>
          <w:szCs w:val="24"/>
        </w:rPr>
        <w:t xml:space="preserve"> Ф.А.</w:t>
      </w:r>
      <w:r w:rsidRPr="004816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jc w:val="right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816B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73EC2">
        <w:rPr>
          <w:rFonts w:ascii="Times New Roman" w:hAnsi="Times New Roman" w:cs="Times New Roman"/>
          <w:sz w:val="24"/>
          <w:szCs w:val="24"/>
        </w:rPr>
        <w:t>от  «29»  декабря 2020 г.  №46</w:t>
      </w:r>
      <w:r w:rsidRPr="004816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2F1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регламент; муниципальная услуга)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при предоставлении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 поселения (далее Уполномоченный орган):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почтовый адрес Уполномоченного органа:</w:t>
      </w:r>
    </w:p>
    <w:p w:rsidR="004816B0" w:rsidRPr="004816B0" w:rsidRDefault="00673EC2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429372,</w:t>
      </w:r>
      <w:r w:rsidR="004816B0" w:rsidRPr="004816B0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4816B0" w:rsidRPr="004816B0">
        <w:rPr>
          <w:rFonts w:ascii="Times New Roman" w:hAnsi="Times New Roman" w:cs="Times New Roman"/>
          <w:sz w:val="24"/>
          <w:szCs w:val="24"/>
        </w:rPr>
        <w:t>Баты</w:t>
      </w:r>
      <w:r>
        <w:rPr>
          <w:rFonts w:ascii="Times New Roman" w:hAnsi="Times New Roman" w:cs="Times New Roman"/>
          <w:sz w:val="24"/>
          <w:szCs w:val="24"/>
        </w:rPr>
        <w:t>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Долгий Остров,  ул. Колхозная, д.52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</w:t>
      </w:r>
      <w:r w:rsidR="0092086C">
        <w:rPr>
          <w:rFonts w:ascii="Times New Roman" w:hAnsi="Times New Roman" w:cs="Times New Roman"/>
          <w:sz w:val="24"/>
          <w:szCs w:val="24"/>
        </w:rPr>
        <w:t xml:space="preserve"> </w:t>
      </w:r>
      <w:r w:rsidR="0092086C" w:rsidRPr="0092086C">
        <w:rPr>
          <w:rFonts w:ascii="Times New Roman" w:hAnsi="Times New Roman" w:cs="Times New Roman"/>
          <w:sz w:val="24"/>
          <w:szCs w:val="24"/>
        </w:rPr>
        <w:t>http://gov.cap.ru/Default.aspx?gov_id=297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816B0" w:rsidRPr="004816B0" w:rsidRDefault="0092086C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dostr</w:t>
      </w:r>
      <w:proofErr w:type="spellEnd"/>
      <w:r w:rsidR="004816B0" w:rsidRPr="004816B0">
        <w:rPr>
          <w:rFonts w:ascii="Times New Roman" w:hAnsi="Times New Roman" w:cs="Times New Roman"/>
          <w:sz w:val="24"/>
          <w:szCs w:val="24"/>
        </w:rPr>
        <w:t>-batyr@cap.ru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телефон 8(83532) 6-</w:t>
      </w:r>
      <w:r w:rsidR="0092086C" w:rsidRPr="0092086C">
        <w:rPr>
          <w:rFonts w:ascii="Times New Roman" w:hAnsi="Times New Roman" w:cs="Times New Roman"/>
          <w:sz w:val="24"/>
          <w:szCs w:val="24"/>
        </w:rPr>
        <w:t xml:space="preserve">4-7-22 </w:t>
      </w:r>
      <w:r w:rsidRPr="004816B0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 http://www.gosuslugi.ru (далее – Единый портал);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почтовый адрес МФЦ: 429350, Чувашская Республика.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 с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>атырево, пр. Ленина, д.7а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Адрес электронной почты: mfc@batyr.cap.ru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Тел. (83532)6-13-60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на Едином портале;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2) у сотрудников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у специалистов МФЦ;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МФЦ;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</w:t>
      </w:r>
    </w:p>
    <w:p w:rsidR="002F1412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3) тексты нормативных правовых актов, регулирующих предоставление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6) порядок и способы получения результата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7) порядок и способы получения информации о порядке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8) порядок и способы предварительной записи на подачу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порядок и способы предварительной записи на подачу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6) сроки оказания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Информация в МФЦ предоставляется при личном обращении в часы приема, посредством электронной почты или по телефону.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отдела администрации,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4) порядок и способы подачи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порядок и способы предварительной записи на подачу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6) порядок записи на личный прием к должностным лицам администрации и МФЦ;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2F1412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«Выдача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2.2.Муниципальная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можно подать через МФЦ, а также с помощью Единого портала.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выдача уведомления о 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(пяти) рабочих дней со дня поступления уведомления об окончании строительства.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Конституция Российской Федерации («Российская газета», № 237, 25.12.1993);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» («Собрание законодательства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Федерации», 27.08.2012, № 35, ст. 4829);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2086C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92086C" w:rsidRPr="0092086C">
        <w:rPr>
          <w:rFonts w:ascii="Times New Roman" w:hAnsi="Times New Roman" w:cs="Times New Roman"/>
          <w:sz w:val="24"/>
          <w:szCs w:val="24"/>
        </w:rPr>
        <w:t xml:space="preserve">03 </w:t>
      </w:r>
      <w:r w:rsidR="0092086C">
        <w:rPr>
          <w:rFonts w:ascii="Times New Roman" w:hAnsi="Times New Roman" w:cs="Times New Roman"/>
          <w:sz w:val="24"/>
          <w:szCs w:val="24"/>
        </w:rPr>
        <w:t>февраля</w:t>
      </w:r>
      <w:r w:rsidRPr="004816B0">
        <w:rPr>
          <w:rFonts w:ascii="Times New Roman" w:hAnsi="Times New Roman" w:cs="Times New Roman"/>
          <w:sz w:val="24"/>
          <w:szCs w:val="24"/>
        </w:rPr>
        <w:t xml:space="preserve"> 2011 г. №14;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2F1412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строительстве прилагаются: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</w:t>
      </w:r>
      <w:r w:rsidR="002F1412">
        <w:rPr>
          <w:rFonts w:ascii="Times New Roman" w:hAnsi="Times New Roman" w:cs="Times New Roman"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 на праве общей долевой собственности или на праве аренды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или отсутствия документов, прилагаемых к нему и предусмотренных пунктами 1 - 3 части 16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без рассмотрения с указанием причин возврата.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этом случае уведомление об окончании строительства считается ненаправленным.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2.11. Основания выдачи уведомления о несоответствии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 требованиям к параметрам объектов капитального строительства, установленным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>, и такой объект капитального строительства не введен в эксплуатацию.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2.12. Услуги, необходимые и обязательные для предоставления муниципальной услуги, не предусмотрены.</w:t>
      </w:r>
    </w:p>
    <w:p w:rsidR="004816B0" w:rsidRPr="004816B0" w:rsidRDefault="004D10B3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6B0" w:rsidRPr="004816B0">
        <w:rPr>
          <w:rFonts w:ascii="Times New Roman" w:hAnsi="Times New Roman" w:cs="Times New Roman"/>
          <w:sz w:val="24"/>
          <w:szCs w:val="24"/>
        </w:rPr>
        <w:t>.13. Муниципальная услуга предоставляется без взимания платы.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2.16.1.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4D10B3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  <w:r w:rsidR="004D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2.16.2. Для обеспечения доступности получения муниципальной услуги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групп населения». В кабинете по приему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4D10B3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сотрудник администрации оказывает помощь в заполнении бланков, копирует необходимые документы.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Для подписания бланка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>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2.17.1. Количество взаимодействий заявителя с сотрудником администрации при предоставлении муниципальной услуги - 2.Продолжительность взаимодействий заявителя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>с сотрудником администрации при предоставлении муниципальной услуги — не более 15 минут.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2.18.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1) прием, регистрация уведомления об окончании строительства (приложение № 4);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проверка 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 заявителю в виде:</w:t>
      </w:r>
    </w:p>
    <w:p w:rsidR="004D10B3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r w:rsidR="004D10B3">
        <w:rPr>
          <w:rFonts w:ascii="Times New Roman" w:hAnsi="Times New Roman" w:cs="Times New Roman"/>
          <w:sz w:val="24"/>
          <w:szCs w:val="24"/>
        </w:rPr>
        <w:t xml:space="preserve">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на земельном участке (приложение № 2);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 (приложение № 3);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выдачи уведомления о 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5);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выдачи уведомления о несоответствии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6)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3.1.1. Прием и регистрация уведомления об окончании строительства.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 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Максимальный срок выполнения — 15 минут.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Максимальный срок выполнения — в день поступления уведомления об окончании строительства.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1) удостоверяется в личности заявителя;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специалист, ответственный за прием документов, проверяет наличие в представленных документах документы, подтверждающие полномочия представителя;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3.1.2.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Основанием для начала административной процедуры является получение и регистрация уведомления об окончании строительства.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или отсутствия документов, прилагаемых к нему и предусмотренных пунктами 1 - 3 части 16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а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>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РФ),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3.1.3.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 такой объект капитального строительства не введен в эксплуатацию;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3.1.4. Предоставление результата муниципальной услуги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№3);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уведомление о несоответствии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№4).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— не более 15 минут.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должностными лицами, ответственными за 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 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исполнения сотрудником администрации,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Ре6спублики, настоящего административного регламента.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настоящего административного регламента должностное лицо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Граждане, их объединения и организации вправе направить письменное обращение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должностных лиц, участвующих в предоставлении муниципальной услуги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5.2.1 Нарушение срока регистрации уведомления об окончании строительства;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для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Чувашкой Республики для предоставления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 xml:space="preserve">Отказ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услуги".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лиц и индивидуальных предпринимателей, являющихся субъектами градостроительных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форме, в том числе при личном приеме заявителя, в форме электронного документа, или направляется по почте. Жалоба на нарушение порядка предоставления муниципальной услуги МФЦ подается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E708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>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адресу ее </w:t>
      </w:r>
      <w:r w:rsidRPr="004816B0">
        <w:rPr>
          <w:rFonts w:ascii="Times New Roman" w:hAnsi="Times New Roman" w:cs="Times New Roman"/>
          <w:sz w:val="24"/>
          <w:szCs w:val="24"/>
        </w:rPr>
        <w:lastRenderedPageBreak/>
        <w:t>нахождения, указанному в п.п. 1.3.1, настоящего административного регламента. 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 Время приема жалоб совпадает со временем предоставления муниципальной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 в информационно-телекоммуникационной сети «Интернет»;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должностным лицом.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совершившем, жалоба подлежит направлению в государственный орган в соответствии с его компетенцией.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Если в жалобе содержатся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жалобу.</w:t>
      </w:r>
    </w:p>
    <w:p w:rsidR="00C43F4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 Уполномоченный орган отказывает в удовлетворении жалобы в следующих случаях: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тому же предмету и по тем же основаниям;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3F4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г) если жалоба признана необоснованной.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43F4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4816B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816B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6B0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 xml:space="preserve"> г) основания для принятия решения по жалобе;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6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6B0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ж) сведения о порядке обжалования принятого по жалобе решения.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5.9. Решение по жалобе может быть оспорено в судебном порядке.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16B0">
        <w:rPr>
          <w:rFonts w:ascii="Times New Roman" w:hAnsi="Times New Roman" w:cs="Times New Roman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816B0" w:rsidRPr="004816B0" w:rsidRDefault="004816B0" w:rsidP="0048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Приложение № 1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о градостроительной деятельности»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Блок – схема 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4745"/>
      </w:tblGrid>
      <w:tr w:rsidR="00B85A17" w:rsidRPr="00B85A17" w:rsidTr="00B85A1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прием, регистрация уведомления об окончании строительства</w:t>
            </w:r>
          </w:p>
        </w:tc>
      </w:tr>
      <w:tr w:rsidR="00B85A17" w:rsidRPr="00B85A17" w:rsidTr="00B85A1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85A17" w:rsidRPr="00B85A17" w:rsidTr="00B85A1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результата услуги заявителю: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выдача уведомления о соответствии </w:t>
            </w: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построенных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 xml:space="preserve">выдача уведомления о несоответствии </w:t>
            </w: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построенных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градостроительной деятельности</w:t>
            </w:r>
          </w:p>
        </w:tc>
      </w:tr>
      <w:tr w:rsidR="00B85A17" w:rsidRPr="00B85A17" w:rsidTr="00B85A1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  <w:p w:rsidR="00B85A17" w:rsidRPr="00B85A17" w:rsidRDefault="00B85A17" w:rsidP="00B85A17">
            <w:pPr>
              <w:spacing w:before="61" w:after="6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Приложение № 2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о градостроительной деятельности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ФОРМА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Кому: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Почтовый адрес: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Адрес электронной почты (при наличии):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br/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и допустимости размещения объекта индивидуального жилищного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br/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строительства или садового дома на земельном участке</w:t>
      </w:r>
      <w:proofErr w:type="gramEnd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44"/>
        <w:gridCol w:w="182"/>
        <w:gridCol w:w="144"/>
        <w:gridCol w:w="264"/>
        <w:gridCol w:w="144"/>
        <w:gridCol w:w="207"/>
        <w:gridCol w:w="251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По результатам рассмотрения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направленного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направления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зарегистрированного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и номер регистрации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уведомляем о соответствии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2"/>
        <w:gridCol w:w="144"/>
        <w:gridCol w:w="769"/>
        <w:gridCol w:w="144"/>
        <w:gridCol w:w="152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(расшифровка подписи)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М.П.</w:t>
      </w:r>
    </w:p>
    <w:p w:rsidR="00673EC2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  </w:t>
      </w:r>
    </w:p>
    <w:p w:rsidR="00673EC2" w:rsidRDefault="00673EC2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73EC2" w:rsidRDefault="00673EC2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73EC2" w:rsidRDefault="00673EC2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73EC2" w:rsidRDefault="00673EC2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73EC2" w:rsidRDefault="00673EC2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lastRenderedPageBreak/>
        <w:t>Приложение № 3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о градостроительной деятельности </w:t>
      </w:r>
    </w:p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ФОРМА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Кому: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Почтовый адрес: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Адрес электронной почты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(при наличии):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br/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44"/>
        <w:gridCol w:w="182"/>
        <w:gridCol w:w="144"/>
        <w:gridCol w:w="264"/>
        <w:gridCol w:w="144"/>
        <w:gridCol w:w="207"/>
        <w:gridCol w:w="251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По результатам рассмотрения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направленного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направления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зарегистрированного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и номер регистрации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уведомляем: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2"/>
        <w:gridCol w:w="144"/>
        <w:gridCol w:w="769"/>
        <w:gridCol w:w="144"/>
        <w:gridCol w:w="152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(расшифровка 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подписи)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М.П.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К настоящему уведомлению прилагаются: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 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Приложение № 4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о градостроительной деятельности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ФОРМА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44"/>
        <w:gridCol w:w="182"/>
        <w:gridCol w:w="144"/>
        <w:gridCol w:w="264"/>
        <w:gridCol w:w="144"/>
        <w:gridCol w:w="207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</w:t>
            </w:r>
          </w:p>
        </w:tc>
      </w:tr>
    </w:tbl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1. Сведения о застройщике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868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1.2.4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6366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2. Сведения о земельном участке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3. Сведения об объекте капитального строительства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868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 параметрах: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Количество надземных этажей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3.3.3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3.3.4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Площадь застройки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Почтовый адрес и (или) адрес электронной почты для связи: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Уведомление о соответствии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Настоящим уведомлением подтверждаю, что  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(объект индивидуального жилищного строительства или садовый дом)</w:t>
      </w:r>
    </w:p>
    <w:p w:rsidR="00B85A17" w:rsidRPr="00B85A17" w:rsidRDefault="00B85A17" w:rsidP="00673EC2">
      <w:pPr>
        <w:shd w:val="clear" w:color="auto" w:fill="F5F5F5"/>
        <w:spacing w:before="100" w:beforeAutospacing="1" w:after="240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не предназначен для раздела на самостоятельные объекты недвижимости, а также оплату государственной пошлины за осуществле</w:t>
      </w:r>
      <w:r w:rsidR="00673EC2">
        <w:rPr>
          <w:rFonts w:ascii="Verdana" w:eastAsia="Times New Roman" w:hAnsi="Verdana" w:cs="Times New Roman"/>
          <w:b/>
          <w:bCs/>
          <w:color w:val="000000"/>
          <w:sz w:val="13"/>
        </w:rPr>
        <w:t>ние государственной регистрации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   </w:t>
      </w:r>
      <w:r w:rsidR="00673EC2"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прав</w:t>
      </w: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="00673EC2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.</w:t>
      </w:r>
      <w:proofErr w:type="gramEnd"/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(реквизиты платежного документа)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Настоящим уведомлением я 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(фамилия, имя, отчество (при наличии)</w:t>
      </w:r>
      <w:proofErr w:type="gramEnd"/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1"/>
        <w:gridCol w:w="144"/>
        <w:gridCol w:w="769"/>
        <w:gridCol w:w="144"/>
        <w:gridCol w:w="1751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(расшифровка подписи)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М.П.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(при наличии)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К настоящему уведомлению прилагается:</w:t>
      </w:r>
    </w:p>
    <w:p w:rsidR="00B85A17" w:rsidRPr="00B85A17" w:rsidRDefault="00B85A17" w:rsidP="0092086C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№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49, ст. 7015; 2012, № 26, ст. 3446; 2014, № 43, ст. 5799; 2015, № 29, ст. 4342, 4378; 2016, № 1, ст. 79; 2016, № 26, ст. 3867; 2016, № 27, ст. 4294, 4303, 4305, 4306; 2016, № 52, ст. 7494; 2018, № 32, ст. 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5133, 5134, 5135)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Приложение № 5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</w:t>
      </w:r>
      <w:proofErr w:type="spellStart"/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>о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градостроительной</w:t>
      </w:r>
      <w:proofErr w:type="spell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деятельности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ФОРМА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Кому: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Почтовый адрес: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Адрес электронной почты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(при наличии):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Уведомление о соответствии </w:t>
      </w: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44"/>
        <w:gridCol w:w="182"/>
        <w:gridCol w:w="144"/>
        <w:gridCol w:w="264"/>
        <w:gridCol w:w="144"/>
        <w:gridCol w:w="207"/>
        <w:gridCol w:w="251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По результатам рассмотрения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уведомления об окончании строительства или реконструкции объекта индивидуального жилищного строительства или садового дома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(далее – уведомление),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направленного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направления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зарегистрированного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и номер регистрации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уведомляет о соответствии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(построенного или реконструированного)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                                                                                               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>                           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,</w:t>
      </w:r>
      <w:proofErr w:type="gramEnd"/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(объекта индивидуального жилищного строительства или садового дома)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указанного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в уведомлении и расположенного на земельном участке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требованиям законодательства о градостроительной деятельности.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2"/>
        <w:gridCol w:w="144"/>
        <w:gridCol w:w="769"/>
        <w:gridCol w:w="144"/>
        <w:gridCol w:w="152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(расшифровка подписи)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М.П.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Приложение № 6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административному регламенту предоставления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муниципальной услуги Выдача уведомления о соответствии (несоответствии)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или реконструированных объекта индивидуального жилищного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строительства или садового дома требованиям законодательства</w:t>
      </w:r>
      <w:r w:rsidR="00673EC2">
        <w:rPr>
          <w:rFonts w:ascii="Verdana" w:eastAsia="Times New Roman" w:hAnsi="Verdana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о градостроительной деятельности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ФОРМА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Кому: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Почтовый адрес: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Адрес электронной почты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(при наличии): 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Уведомление о несоответствии </w:t>
      </w:r>
      <w:proofErr w:type="gramStart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построенных</w:t>
      </w:r>
      <w:proofErr w:type="gramEnd"/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44"/>
        <w:gridCol w:w="182"/>
        <w:gridCol w:w="144"/>
        <w:gridCol w:w="264"/>
        <w:gridCol w:w="144"/>
        <w:gridCol w:w="207"/>
        <w:gridCol w:w="251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gramStart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г</w:t>
            </w:r>
            <w:proofErr w:type="gramEnd"/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lastRenderedPageBreak/>
        <w:t>По результатам рассмотрения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уведомления об окончании строительства или реконструкции объекта индивидуального жилищного строительства или садового дома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(далее – уведомление),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14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направленного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направления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зарегистрированного</w:t>
            </w:r>
          </w:p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(дата и номер регистрации уведомления)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b/>
          <w:bCs/>
          <w:color w:val="000000"/>
          <w:sz w:val="13"/>
        </w:rPr>
        <w:t>уведомляем о несоответствии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5A17" w:rsidRPr="00B85A17" w:rsidRDefault="00673EC2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(построенного или </w:t>
      </w:r>
      <w:r w:rsidR="00B85A17" w:rsidRPr="00B85A17">
        <w:rPr>
          <w:rFonts w:ascii="Verdana" w:eastAsia="Times New Roman" w:hAnsi="Verdana" w:cs="Times New Roman"/>
          <w:color w:val="000000"/>
          <w:sz w:val="13"/>
          <w:szCs w:val="13"/>
        </w:rPr>
        <w:t>реконструированного)</w:t>
      </w:r>
      <w:proofErr w:type="gramStart"/>
      <w:r w:rsidR="00B85A17" w:rsidRPr="00B85A17">
        <w:rPr>
          <w:rFonts w:ascii="Verdana" w:eastAsia="Times New Roman" w:hAnsi="Verdana" w:cs="Times New Roman"/>
          <w:color w:val="000000"/>
          <w:sz w:val="13"/>
          <w:szCs w:val="13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3"/>
          <w:szCs w:val="13"/>
        </w:rPr>
        <w:t>            </w:t>
      </w:r>
      <w:r w:rsidR="00B85A17"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,</w:t>
      </w:r>
      <w:proofErr w:type="gramEnd"/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(объекта индивидуального жилищного строительства или садового дома)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указанного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в уведомлении и расположенного на земельном участке</w:t>
      </w:r>
    </w:p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требованиям законодательства о градостроительной деятельности по следующим</w:t>
      </w: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br/>
        <w:t>основаниям: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 </w:t>
      </w:r>
      <w:proofErr w:type="gramEnd"/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 </w:t>
      </w:r>
    </w:p>
    <w:p w:rsidR="00B85A17" w:rsidRPr="00B85A17" w:rsidRDefault="00B85A17" w:rsidP="00673EC2">
      <w:pPr>
        <w:shd w:val="clear" w:color="auto" w:fill="F5F5F5"/>
        <w:spacing w:before="100" w:beforeAutospacing="1" w:after="100" w:afterAutospacing="1" w:line="240" w:lineRule="auto"/>
        <w:ind w:firstLine="244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капитального строительства не </w:t>
      </w:r>
      <w:proofErr w:type="gramStart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введен</w:t>
      </w:r>
      <w:proofErr w:type="gramEnd"/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 xml:space="preserve"> в эксплуатацию)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2"/>
        <w:gridCol w:w="144"/>
        <w:gridCol w:w="769"/>
        <w:gridCol w:w="144"/>
        <w:gridCol w:w="1524"/>
      </w:tblGrid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B85A17" w:rsidRPr="00B85A17" w:rsidTr="00B85A1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</w:t>
            </w: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9" w:type="dxa"/>
              <w:bottom w:w="24" w:type="dxa"/>
              <w:right w:w="49" w:type="dxa"/>
            </w:tcMar>
            <w:vAlign w:val="center"/>
            <w:hideMark/>
          </w:tcPr>
          <w:p w:rsidR="00B85A17" w:rsidRPr="00B85A17" w:rsidRDefault="00B85A17" w:rsidP="00B85A17">
            <w:pPr>
              <w:spacing w:before="61" w:after="6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85A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(расшифровка подписи)</w:t>
            </w:r>
          </w:p>
        </w:tc>
      </w:tr>
    </w:tbl>
    <w:p w:rsidR="00B85A17" w:rsidRPr="00B85A17" w:rsidRDefault="00B85A17" w:rsidP="00B85A17">
      <w:pPr>
        <w:shd w:val="clear" w:color="auto" w:fill="F5F5F5"/>
        <w:spacing w:before="100" w:beforeAutospacing="1" w:after="100" w:afterAutospacing="1" w:line="240" w:lineRule="auto"/>
        <w:ind w:firstLine="24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B85A17">
        <w:rPr>
          <w:rFonts w:ascii="Verdana" w:eastAsia="Times New Roman" w:hAnsi="Verdana" w:cs="Times New Roman"/>
          <w:color w:val="000000"/>
          <w:sz w:val="13"/>
          <w:szCs w:val="13"/>
        </w:rPr>
        <w:t>М.П.</w:t>
      </w:r>
    </w:p>
    <w:p w:rsidR="004816B0" w:rsidRDefault="004816B0" w:rsidP="00B85A17">
      <w:pPr>
        <w:jc w:val="right"/>
      </w:pPr>
    </w:p>
    <w:sectPr w:rsidR="0048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816B0"/>
    <w:rsid w:val="002F1412"/>
    <w:rsid w:val="004816B0"/>
    <w:rsid w:val="004D10B3"/>
    <w:rsid w:val="00673EC2"/>
    <w:rsid w:val="008E7080"/>
    <w:rsid w:val="0092086C"/>
    <w:rsid w:val="00B85A17"/>
    <w:rsid w:val="00C43F40"/>
    <w:rsid w:val="00D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6B0"/>
    <w:rPr>
      <w:b/>
      <w:bCs/>
    </w:rPr>
  </w:style>
  <w:style w:type="character" w:styleId="a5">
    <w:name w:val="Hyperlink"/>
    <w:basedOn w:val="a0"/>
    <w:uiPriority w:val="99"/>
    <w:semiHidden/>
    <w:unhideWhenUsed/>
    <w:rsid w:val="004816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16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936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335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963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59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12741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2020-11-14T05:44:00Z</dcterms:created>
  <dcterms:modified xsi:type="dcterms:W3CDTF">2020-11-13T11:19:00Z</dcterms:modified>
</cp:coreProperties>
</file>