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7D" w:rsidRDefault="0086317D" w:rsidP="0086317D">
      <w:pPr>
        <w:rPr>
          <w:sz w:val="24"/>
          <w:szCs w:val="24"/>
        </w:rPr>
      </w:pPr>
      <w:bookmarkStart w:id="0" w:name="_GoBack"/>
    </w:p>
    <w:bookmarkEnd w:id="0"/>
    <w:p w:rsidR="0086317D" w:rsidRDefault="0086317D" w:rsidP="0086317D">
      <w:pPr>
        <w:rPr>
          <w:sz w:val="24"/>
          <w:szCs w:val="24"/>
        </w:rPr>
      </w:pPr>
    </w:p>
    <w:p w:rsidR="0086317D" w:rsidRDefault="0086317D" w:rsidP="0086317D">
      <w:pPr>
        <w:rPr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-322580</wp:posOffset>
            </wp:positionV>
            <wp:extent cx="688340" cy="6838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17D" w:rsidRDefault="0086317D" w:rsidP="0086317D">
      <w:pPr>
        <w:rPr>
          <w:sz w:val="24"/>
          <w:szCs w:val="24"/>
        </w:rPr>
      </w:pPr>
    </w:p>
    <w:p w:rsidR="0086317D" w:rsidRDefault="0086317D" w:rsidP="0086317D">
      <w:pPr>
        <w:rPr>
          <w:sz w:val="24"/>
          <w:szCs w:val="24"/>
        </w:rPr>
      </w:pPr>
    </w:p>
    <w:tbl>
      <w:tblPr>
        <w:tblpPr w:leftFromText="180" w:rightFromText="180" w:vertAnchor="text" w:horzAnchor="margin" w:tblpY="-329"/>
        <w:tblW w:w="9435" w:type="dxa"/>
        <w:tblLayout w:type="fixed"/>
        <w:tblLook w:val="04A0" w:firstRow="1" w:lastRow="0" w:firstColumn="1" w:lastColumn="0" w:noHBand="0" w:noVBand="1"/>
      </w:tblPr>
      <w:tblGrid>
        <w:gridCol w:w="4136"/>
        <w:gridCol w:w="1156"/>
        <w:gridCol w:w="4143"/>
      </w:tblGrid>
      <w:tr w:rsidR="0086317D" w:rsidTr="00B15394">
        <w:trPr>
          <w:cantSplit/>
          <w:trHeight w:val="297"/>
        </w:trPr>
        <w:tc>
          <w:tcPr>
            <w:tcW w:w="4138" w:type="dxa"/>
          </w:tcPr>
          <w:p w:rsidR="0086317D" w:rsidRDefault="0086317D" w:rsidP="00B15394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317D" w:rsidRDefault="0086317D" w:rsidP="00B15394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  РЕСПУБЛИКИ</w:t>
            </w:r>
            <w:proofErr w:type="gramEnd"/>
          </w:p>
          <w:p w:rsidR="0086317D" w:rsidRDefault="0086317D" w:rsidP="00B1539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86317D" w:rsidRDefault="0086317D" w:rsidP="00B15394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hideMark/>
          </w:tcPr>
          <w:p w:rsidR="0086317D" w:rsidRDefault="0086317D" w:rsidP="00B15394">
            <w:pPr>
              <w:rPr>
                <w:rFonts w:ascii="Calibri" w:eastAsia="Calibri" w:hAnsi="Calibri"/>
              </w:rPr>
            </w:pPr>
          </w:p>
        </w:tc>
        <w:tc>
          <w:tcPr>
            <w:tcW w:w="4146" w:type="dxa"/>
          </w:tcPr>
          <w:p w:rsidR="0086317D" w:rsidRDefault="0086317D" w:rsidP="00B15394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17D" w:rsidRDefault="0086317D" w:rsidP="00B15394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86317D" w:rsidRDefault="0086317D" w:rsidP="00B15394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86317D" w:rsidTr="00B15394">
        <w:trPr>
          <w:cantSplit/>
          <w:trHeight w:val="835"/>
        </w:trPr>
        <w:tc>
          <w:tcPr>
            <w:tcW w:w="4138" w:type="dxa"/>
          </w:tcPr>
          <w:p w:rsidR="0086317D" w:rsidRDefault="0086317D" w:rsidP="00B15394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УПИ САЛИ ПОСЕЛЕНИЙĚН</w:t>
            </w:r>
          </w:p>
          <w:p w:rsidR="0086317D" w:rsidRDefault="0086317D" w:rsidP="00B15394">
            <w:pPr>
              <w:spacing w:before="20"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ДЕПУТАТСЕН ПУХĂВĚ</w:t>
            </w:r>
            <w:r>
              <w:rPr>
                <w:rStyle w:val="a5"/>
                <w:color w:val="000000"/>
                <w:szCs w:val="24"/>
              </w:rPr>
              <w:t xml:space="preserve"> </w:t>
            </w:r>
          </w:p>
          <w:p w:rsidR="0086317D" w:rsidRDefault="0086317D" w:rsidP="00B15394">
            <w:pPr>
              <w:spacing w:line="192" w:lineRule="auto"/>
              <w:jc w:val="center"/>
            </w:pPr>
          </w:p>
          <w:p w:rsidR="0086317D" w:rsidRDefault="0086317D" w:rsidP="00B15394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ЫШĂНУ</w:t>
            </w:r>
          </w:p>
          <w:p w:rsidR="0086317D" w:rsidRDefault="0086317D" w:rsidP="00B15394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86317D" w:rsidRDefault="0086317D" w:rsidP="00B1539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2020.05. 06      С –53/2   №</w:t>
            </w:r>
          </w:p>
          <w:p w:rsidR="0086317D" w:rsidRDefault="0086317D" w:rsidP="00B153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1157" w:type="dxa"/>
            <w:vMerge/>
            <w:vAlign w:val="center"/>
            <w:hideMark/>
          </w:tcPr>
          <w:p w:rsidR="0086317D" w:rsidRDefault="0086317D" w:rsidP="00B15394">
            <w:pPr>
              <w:rPr>
                <w:rFonts w:ascii="Calibri" w:eastAsia="Calibri" w:hAnsi="Calibri"/>
              </w:rPr>
            </w:pPr>
          </w:p>
        </w:tc>
        <w:tc>
          <w:tcPr>
            <w:tcW w:w="4146" w:type="dxa"/>
          </w:tcPr>
          <w:p w:rsidR="0086317D" w:rsidRDefault="0086317D" w:rsidP="00B15394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86317D" w:rsidRDefault="0086317D" w:rsidP="00B15394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УБЕЕВСКОГО </w:t>
            </w:r>
          </w:p>
          <w:p w:rsidR="0086317D" w:rsidRDefault="0086317D" w:rsidP="00B15394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86317D" w:rsidRDefault="0086317D" w:rsidP="00B1539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17D" w:rsidRPr="00F06BBB" w:rsidRDefault="0086317D" w:rsidP="00B15394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  <w:szCs w:val="24"/>
              </w:rPr>
            </w:pPr>
            <w:r w:rsidRPr="00F06BBB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  <w:p w:rsidR="0086317D" w:rsidRDefault="0086317D" w:rsidP="00B15394">
            <w:pPr>
              <w:pStyle w:val="a4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06.05.2020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53/2 </w:t>
            </w:r>
          </w:p>
          <w:p w:rsidR="0086317D" w:rsidRDefault="0086317D" w:rsidP="00B153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Убеево</w:t>
            </w:r>
            <w:proofErr w:type="spellEnd"/>
          </w:p>
        </w:tc>
      </w:tr>
    </w:tbl>
    <w:p w:rsidR="0086317D" w:rsidRDefault="0086317D" w:rsidP="0086317D"/>
    <w:p w:rsidR="0086317D" w:rsidRDefault="0086317D" w:rsidP="0086317D"/>
    <w:p w:rsidR="0086317D" w:rsidRDefault="0086317D" w:rsidP="0086317D"/>
    <w:p w:rsidR="0086317D" w:rsidRDefault="0086317D" w:rsidP="0086317D">
      <w:pPr>
        <w:ind w:right="5101"/>
        <w:jc w:val="both"/>
        <w:rPr>
          <w:b/>
          <w:sz w:val="26"/>
          <w:szCs w:val="26"/>
        </w:rPr>
      </w:pPr>
      <w:r>
        <w:rPr>
          <w:b/>
          <w:bCs/>
          <w:kern w:val="28"/>
          <w:sz w:val="26"/>
          <w:szCs w:val="26"/>
        </w:rPr>
        <w:t xml:space="preserve">Об утверждении Порядка проведения внешней проверки годового отчета об исполнении бюджета </w:t>
      </w:r>
      <w:proofErr w:type="spellStart"/>
      <w:r>
        <w:rPr>
          <w:b/>
          <w:bCs/>
          <w:kern w:val="28"/>
          <w:sz w:val="26"/>
          <w:szCs w:val="26"/>
        </w:rPr>
        <w:t>Убеевского</w:t>
      </w:r>
      <w:proofErr w:type="spellEnd"/>
      <w:r>
        <w:rPr>
          <w:b/>
          <w:bCs/>
          <w:kern w:val="28"/>
          <w:sz w:val="26"/>
          <w:szCs w:val="26"/>
        </w:rPr>
        <w:t xml:space="preserve"> сельского поселения Красноармейского района Чувашской Республики</w:t>
      </w:r>
    </w:p>
    <w:p w:rsidR="0086317D" w:rsidRDefault="0086317D" w:rsidP="0086317D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317D" w:rsidRDefault="0086317D" w:rsidP="0086317D">
      <w:pPr>
        <w:pStyle w:val="a3"/>
        <w:ind w:firstLine="709"/>
        <w:jc w:val="both"/>
      </w:pPr>
    </w:p>
    <w:p w:rsidR="0086317D" w:rsidRPr="0040196E" w:rsidRDefault="0086317D" w:rsidP="0086317D">
      <w:pPr>
        <w:ind w:firstLine="708"/>
        <w:jc w:val="both"/>
        <w:rPr>
          <w:sz w:val="26"/>
          <w:szCs w:val="26"/>
        </w:rPr>
      </w:pPr>
      <w:r w:rsidRPr="0040196E">
        <w:rPr>
          <w:sz w:val="26"/>
          <w:szCs w:val="26"/>
        </w:rPr>
        <w:t xml:space="preserve">В соответствии со статьей 264.4 Бюджетного кодекса Российской Федерации, Уставом Красноармейского района, Уставом </w:t>
      </w:r>
      <w:proofErr w:type="spellStart"/>
      <w:r w:rsidRPr="0040196E">
        <w:rPr>
          <w:sz w:val="26"/>
          <w:szCs w:val="26"/>
        </w:rPr>
        <w:t>Убеевского</w:t>
      </w:r>
      <w:proofErr w:type="spellEnd"/>
      <w:r w:rsidRPr="0040196E">
        <w:rPr>
          <w:sz w:val="26"/>
          <w:szCs w:val="26"/>
        </w:rPr>
        <w:t xml:space="preserve"> сельского поселения Красноармейского района Чувашской Республики, </w:t>
      </w:r>
    </w:p>
    <w:p w:rsidR="0086317D" w:rsidRPr="0040196E" w:rsidRDefault="0086317D" w:rsidP="0086317D">
      <w:pPr>
        <w:jc w:val="both"/>
        <w:rPr>
          <w:sz w:val="26"/>
          <w:szCs w:val="26"/>
        </w:rPr>
      </w:pPr>
    </w:p>
    <w:p w:rsidR="0086317D" w:rsidRPr="0040196E" w:rsidRDefault="0086317D" w:rsidP="0086317D">
      <w:pPr>
        <w:jc w:val="both"/>
        <w:rPr>
          <w:b/>
          <w:kern w:val="28"/>
          <w:sz w:val="26"/>
          <w:szCs w:val="26"/>
        </w:rPr>
      </w:pPr>
      <w:r w:rsidRPr="0040196E">
        <w:rPr>
          <w:b/>
          <w:bCs/>
          <w:kern w:val="28"/>
          <w:sz w:val="26"/>
          <w:szCs w:val="26"/>
        </w:rPr>
        <w:t xml:space="preserve">Собрание депутатов </w:t>
      </w:r>
      <w:proofErr w:type="spellStart"/>
      <w:r w:rsidRPr="0040196E">
        <w:rPr>
          <w:b/>
          <w:bCs/>
          <w:kern w:val="28"/>
          <w:sz w:val="26"/>
          <w:szCs w:val="26"/>
        </w:rPr>
        <w:t>Убеевского</w:t>
      </w:r>
      <w:proofErr w:type="spellEnd"/>
      <w:r w:rsidRPr="0040196E">
        <w:rPr>
          <w:b/>
          <w:bCs/>
          <w:kern w:val="28"/>
          <w:sz w:val="26"/>
          <w:szCs w:val="26"/>
        </w:rPr>
        <w:t xml:space="preserve"> сельского поселения</w:t>
      </w:r>
      <w:r w:rsidRPr="0040196E">
        <w:rPr>
          <w:sz w:val="26"/>
          <w:szCs w:val="26"/>
        </w:rPr>
        <w:t xml:space="preserve"> </w:t>
      </w:r>
      <w:r w:rsidRPr="0040196E">
        <w:rPr>
          <w:b/>
          <w:sz w:val="26"/>
          <w:szCs w:val="26"/>
        </w:rPr>
        <w:t>Красноармейского района</w:t>
      </w:r>
      <w:r w:rsidRPr="0040196E">
        <w:rPr>
          <w:b/>
          <w:bCs/>
          <w:kern w:val="28"/>
          <w:sz w:val="26"/>
          <w:szCs w:val="26"/>
        </w:rPr>
        <w:t xml:space="preserve"> решило:</w:t>
      </w:r>
    </w:p>
    <w:p w:rsidR="0086317D" w:rsidRPr="0040196E" w:rsidRDefault="0086317D" w:rsidP="0086317D">
      <w:pPr>
        <w:jc w:val="both"/>
        <w:rPr>
          <w:bCs/>
          <w:sz w:val="26"/>
          <w:szCs w:val="26"/>
        </w:rPr>
      </w:pPr>
    </w:p>
    <w:p w:rsidR="0086317D" w:rsidRPr="0040196E" w:rsidRDefault="0086317D" w:rsidP="0086317D">
      <w:pPr>
        <w:jc w:val="both"/>
        <w:rPr>
          <w:sz w:val="26"/>
          <w:szCs w:val="26"/>
        </w:rPr>
      </w:pPr>
      <w:r w:rsidRPr="0040196E">
        <w:rPr>
          <w:sz w:val="26"/>
          <w:szCs w:val="26"/>
        </w:rPr>
        <w:t xml:space="preserve">         1. Утвердить прилагаемый Порядок проведения внешней проверки годового отчета об исполнении бюджета </w:t>
      </w:r>
      <w:proofErr w:type="spellStart"/>
      <w:r w:rsidRPr="0040196E">
        <w:rPr>
          <w:sz w:val="26"/>
          <w:szCs w:val="26"/>
        </w:rPr>
        <w:t>Убеевского</w:t>
      </w:r>
      <w:proofErr w:type="spellEnd"/>
      <w:r w:rsidRPr="0040196E">
        <w:rPr>
          <w:sz w:val="26"/>
          <w:szCs w:val="26"/>
        </w:rPr>
        <w:t xml:space="preserve"> сельского поселения Красноармейского района Чувашской Республики. </w:t>
      </w:r>
    </w:p>
    <w:p w:rsidR="0086317D" w:rsidRDefault="0086317D" w:rsidP="008631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сельского поселения».</w:t>
      </w:r>
    </w:p>
    <w:p w:rsidR="0086317D" w:rsidRDefault="0086317D" w:rsidP="0086317D">
      <w:pPr>
        <w:pStyle w:val="a3"/>
        <w:ind w:firstLine="709"/>
        <w:jc w:val="both"/>
        <w:rPr>
          <w:sz w:val="26"/>
          <w:szCs w:val="26"/>
        </w:rPr>
      </w:pPr>
    </w:p>
    <w:p w:rsidR="0086317D" w:rsidRDefault="0086317D" w:rsidP="0086317D">
      <w:pPr>
        <w:ind w:firstLine="567"/>
        <w:jc w:val="both"/>
        <w:rPr>
          <w:sz w:val="26"/>
          <w:szCs w:val="26"/>
        </w:rPr>
      </w:pPr>
    </w:p>
    <w:p w:rsidR="0086317D" w:rsidRDefault="0086317D" w:rsidP="0086317D">
      <w:pPr>
        <w:jc w:val="both"/>
        <w:rPr>
          <w:sz w:val="26"/>
          <w:szCs w:val="26"/>
        </w:rPr>
      </w:pPr>
    </w:p>
    <w:p w:rsidR="0086317D" w:rsidRDefault="0086317D" w:rsidP="0086317D">
      <w:pPr>
        <w:jc w:val="both"/>
        <w:rPr>
          <w:sz w:val="26"/>
          <w:szCs w:val="26"/>
        </w:rPr>
      </w:pPr>
    </w:p>
    <w:p w:rsidR="0086317D" w:rsidRDefault="0086317D" w:rsidP="0086317D">
      <w:pPr>
        <w:jc w:val="both"/>
        <w:rPr>
          <w:sz w:val="26"/>
          <w:szCs w:val="26"/>
        </w:rPr>
      </w:pPr>
    </w:p>
    <w:p w:rsidR="0086317D" w:rsidRDefault="0086317D" w:rsidP="0086317D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Убеевского</w:t>
      </w:r>
      <w:proofErr w:type="spellEnd"/>
    </w:p>
    <w:p w:rsidR="0086317D" w:rsidRDefault="0086317D" w:rsidP="0086317D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</w:t>
      </w:r>
      <w:proofErr w:type="spellStart"/>
      <w:r>
        <w:rPr>
          <w:sz w:val="26"/>
          <w:szCs w:val="26"/>
        </w:rPr>
        <w:t>Н.И.Димитриева</w:t>
      </w:r>
      <w:proofErr w:type="spellEnd"/>
      <w:r>
        <w:rPr>
          <w:sz w:val="26"/>
          <w:szCs w:val="26"/>
        </w:rPr>
        <w:t xml:space="preserve"> </w:t>
      </w:r>
    </w:p>
    <w:p w:rsidR="0086317D" w:rsidRDefault="0086317D" w:rsidP="0086317D">
      <w:pPr>
        <w:rPr>
          <w:sz w:val="26"/>
          <w:szCs w:val="26"/>
        </w:rPr>
      </w:pPr>
    </w:p>
    <w:p w:rsidR="0086317D" w:rsidRDefault="0086317D" w:rsidP="0086317D">
      <w:pPr>
        <w:rPr>
          <w:sz w:val="24"/>
          <w:szCs w:val="24"/>
        </w:rPr>
      </w:pPr>
    </w:p>
    <w:p w:rsidR="0086317D" w:rsidRDefault="0086317D" w:rsidP="0086317D">
      <w:pPr>
        <w:rPr>
          <w:sz w:val="24"/>
          <w:szCs w:val="24"/>
        </w:rPr>
      </w:pPr>
    </w:p>
    <w:p w:rsidR="0086317D" w:rsidRDefault="0086317D" w:rsidP="0086317D">
      <w:pPr>
        <w:rPr>
          <w:sz w:val="24"/>
          <w:szCs w:val="24"/>
        </w:rPr>
      </w:pPr>
    </w:p>
    <w:p w:rsidR="0086317D" w:rsidRDefault="0086317D" w:rsidP="0086317D">
      <w:pPr>
        <w:rPr>
          <w:sz w:val="24"/>
          <w:szCs w:val="24"/>
        </w:rPr>
      </w:pPr>
    </w:p>
    <w:p w:rsidR="0086317D" w:rsidRDefault="0086317D" w:rsidP="0086317D">
      <w:pPr>
        <w:rPr>
          <w:sz w:val="24"/>
          <w:szCs w:val="24"/>
        </w:rPr>
      </w:pPr>
    </w:p>
    <w:p w:rsidR="0086317D" w:rsidRDefault="0086317D" w:rsidP="0086317D">
      <w:pPr>
        <w:rPr>
          <w:sz w:val="24"/>
          <w:szCs w:val="24"/>
        </w:rPr>
      </w:pPr>
    </w:p>
    <w:p w:rsidR="0086317D" w:rsidRDefault="0086317D" w:rsidP="0086317D">
      <w:pPr>
        <w:rPr>
          <w:sz w:val="24"/>
          <w:szCs w:val="24"/>
        </w:rPr>
      </w:pPr>
    </w:p>
    <w:p w:rsidR="0086317D" w:rsidRDefault="0086317D" w:rsidP="0086317D">
      <w:pPr>
        <w:rPr>
          <w:sz w:val="24"/>
          <w:szCs w:val="24"/>
        </w:rPr>
      </w:pPr>
    </w:p>
    <w:p w:rsidR="0086317D" w:rsidRPr="002124CC" w:rsidRDefault="0086317D" w:rsidP="0086317D">
      <w:pPr>
        <w:ind w:left="5954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Приложение</w:t>
      </w:r>
    </w:p>
    <w:p w:rsidR="0086317D" w:rsidRPr="002124CC" w:rsidRDefault="0086317D" w:rsidP="0086317D">
      <w:pPr>
        <w:ind w:left="5954"/>
        <w:jc w:val="both"/>
        <w:rPr>
          <w:sz w:val="24"/>
          <w:szCs w:val="24"/>
        </w:rPr>
      </w:pPr>
      <w:r w:rsidRPr="002124CC">
        <w:rPr>
          <w:sz w:val="24"/>
          <w:szCs w:val="24"/>
        </w:rPr>
        <w:t xml:space="preserve">к решению Собрания депутатов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 </w:t>
      </w:r>
    </w:p>
    <w:p w:rsidR="0086317D" w:rsidRPr="002124CC" w:rsidRDefault="0086317D" w:rsidP="0086317D">
      <w:pPr>
        <w:ind w:left="5954"/>
        <w:jc w:val="both"/>
        <w:rPr>
          <w:sz w:val="24"/>
          <w:szCs w:val="24"/>
        </w:rPr>
      </w:pPr>
      <w:r w:rsidRPr="002124CC">
        <w:rPr>
          <w:sz w:val="24"/>
          <w:szCs w:val="24"/>
        </w:rPr>
        <w:t xml:space="preserve">от 06.05.2020 года </w:t>
      </w:r>
      <w:proofErr w:type="gramStart"/>
      <w:r w:rsidRPr="002124CC">
        <w:rPr>
          <w:sz w:val="24"/>
          <w:szCs w:val="24"/>
        </w:rPr>
        <w:t>№  С</w:t>
      </w:r>
      <w:proofErr w:type="gramEnd"/>
      <w:r w:rsidRPr="002124CC">
        <w:rPr>
          <w:sz w:val="24"/>
          <w:szCs w:val="24"/>
        </w:rPr>
        <w:t>- 53/2</w:t>
      </w:r>
    </w:p>
    <w:p w:rsidR="0086317D" w:rsidRPr="002124CC" w:rsidRDefault="0086317D" w:rsidP="0086317D">
      <w:pPr>
        <w:rPr>
          <w:sz w:val="24"/>
          <w:szCs w:val="24"/>
        </w:rPr>
      </w:pP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</w:p>
    <w:p w:rsidR="0086317D" w:rsidRPr="002124CC" w:rsidRDefault="0086317D" w:rsidP="0086317D">
      <w:pPr>
        <w:jc w:val="center"/>
        <w:rPr>
          <w:b/>
          <w:sz w:val="24"/>
          <w:szCs w:val="24"/>
        </w:rPr>
      </w:pPr>
      <w:r w:rsidRPr="002124CC">
        <w:rPr>
          <w:b/>
          <w:sz w:val="24"/>
          <w:szCs w:val="24"/>
        </w:rPr>
        <w:t>ПОРЯДОК</w:t>
      </w:r>
    </w:p>
    <w:p w:rsidR="0086317D" w:rsidRPr="002124CC" w:rsidRDefault="0086317D" w:rsidP="0086317D">
      <w:pPr>
        <w:jc w:val="center"/>
        <w:rPr>
          <w:b/>
          <w:sz w:val="24"/>
          <w:szCs w:val="24"/>
        </w:rPr>
      </w:pPr>
      <w:r w:rsidRPr="002124CC">
        <w:rPr>
          <w:b/>
          <w:sz w:val="24"/>
          <w:szCs w:val="24"/>
        </w:rPr>
        <w:t xml:space="preserve">проведения внешней проверки годового отчета об исполнении бюджета </w:t>
      </w:r>
      <w:proofErr w:type="spellStart"/>
      <w:r w:rsidRPr="002124CC">
        <w:rPr>
          <w:b/>
          <w:sz w:val="24"/>
          <w:szCs w:val="24"/>
        </w:rPr>
        <w:t>Убеевского</w:t>
      </w:r>
      <w:proofErr w:type="spellEnd"/>
      <w:r w:rsidRPr="002124CC">
        <w:rPr>
          <w:b/>
          <w:sz w:val="24"/>
          <w:szCs w:val="24"/>
        </w:rPr>
        <w:t xml:space="preserve"> сельского поселения Красноармейского района Чувашской Республики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</w:p>
    <w:p w:rsidR="0086317D" w:rsidRPr="002124CC" w:rsidRDefault="0086317D" w:rsidP="0086317D">
      <w:pPr>
        <w:jc w:val="center"/>
        <w:rPr>
          <w:b/>
          <w:sz w:val="24"/>
          <w:szCs w:val="24"/>
        </w:rPr>
      </w:pPr>
      <w:r w:rsidRPr="002124CC">
        <w:rPr>
          <w:b/>
          <w:sz w:val="24"/>
          <w:szCs w:val="24"/>
          <w:lang w:val="en-US"/>
        </w:rPr>
        <w:t>I</w:t>
      </w:r>
      <w:r w:rsidRPr="002124CC">
        <w:rPr>
          <w:b/>
          <w:sz w:val="24"/>
          <w:szCs w:val="24"/>
        </w:rPr>
        <w:t>. Общие положения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 xml:space="preserve">1.1. Порядок проведения внешней проверки годового отчета об исполнении бюджета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 Красноармейского района Чувашской Республики (далее по тексту – Порядок) подготовлен для организации исполнения требования статьи 264.4 Бюджетного кодекса РФ,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федеральных законов, законов Чувашской Республики, муниципальных нормативных правовых актов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 Красноармейского района Чувашской Республики, регулирующих бюджетные правоотношения, 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1.2. Порядок разработан на основе стандарта финансового контроля (СФК типовой)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утвержденного решением Президиума Союза МКСО (протокол заседания Президиума Союза МКСО от 25.09.2012 г. № 4 (30), п. 6.2.).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 xml:space="preserve">1.3. Целью Порядка является установление общих правил и процедур проведения внешней проверки годового отчета об исполнении бюджета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 Красноармейского района Чувашской Республики за отчетный финансовый год (далее по тексту – внешняя проверка) совместно с проверкой достоверности годовой бюджетной отчетности главных администраторов бюджетных средств (далее по тексту – ГАБС).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 xml:space="preserve">1.4. Внешняя проверка осуществляется Контрольно-счетным органом Красноармейского района Чувашской  Республики (далее по тексту – КСО) в соответствии с заключенным Соглашением между Собранием депутатов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 Красноармейского района Чувашской Республики и Собранием депутатов Красноармейского района Чувашской Республики (далее по тексту – </w:t>
      </w:r>
      <w:proofErr w:type="spellStart"/>
      <w:r w:rsidRPr="002124CC">
        <w:rPr>
          <w:sz w:val="24"/>
          <w:szCs w:val="24"/>
        </w:rPr>
        <w:t>Убеевское</w:t>
      </w:r>
      <w:proofErr w:type="spellEnd"/>
      <w:r w:rsidRPr="002124CC">
        <w:rPr>
          <w:sz w:val="24"/>
          <w:szCs w:val="24"/>
        </w:rPr>
        <w:t xml:space="preserve"> сельское поселение) о передаче КСО полномочий контрольно-счетного органа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 по осуществлению внешнего муниципального финансового контроля в соответствии с ч. 11 ст.3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 xml:space="preserve">1.5. Порядок предназначен для применения сотрудниками КСО (далее по тексту – проверяющие), участвующими при проведении контрольных и экспертно-аналитических мероприятий, программы которые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актов при использовании средств бюджета и муниципальной собственности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1.6. Порядок является нормативным правовым актом, устанавливающим основные критерии и общую систему целенаправленных, систематических и сбалансированных шагов или действий, которым должны следовать проверяющие при проведении внешней проверки.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1.7. Цель Порядка – установление единых организационно-правовых, информационных, методических основ проведения внешней проверки бюджетной отчётности главных администраторов бюджетных средств, годового отчёта об исполнении местного бюджета и подготовки заключения КСО.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1.8. Задачи Порядка: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определение общих правил и процедур проведения внешней проверки;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определение методических основ проведения внешней проверки и подготовки заключения;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 xml:space="preserve">- определение структуры, содержания и основных требований к заключению на проект решения Собрания депутатов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 об исполнении бюджета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 за отчетный финансовый год (далее по тексту – проект решения).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</w:p>
    <w:p w:rsidR="0086317D" w:rsidRPr="002124CC" w:rsidRDefault="0086317D" w:rsidP="0086317D">
      <w:pPr>
        <w:jc w:val="center"/>
        <w:rPr>
          <w:b/>
          <w:sz w:val="24"/>
          <w:szCs w:val="24"/>
        </w:rPr>
      </w:pPr>
      <w:r w:rsidRPr="002124CC">
        <w:rPr>
          <w:b/>
          <w:sz w:val="24"/>
          <w:szCs w:val="24"/>
        </w:rPr>
        <w:t xml:space="preserve">II. Содержание внешней проверки 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2.1. Целью проведения внешней проверки является: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установление законности, степени полноты и достоверности представленной бюджетной отчётности, а также представленных в составе проекта решения документов и материалов; соответствие порядка ведения бюджетного учета законодательству Российской Федерации;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установление достоверности бюджетной отчетности ГАБС;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 xml:space="preserve">- установление соответствия фактического исполнения бюджета его плановым назначениям, установленным решениями Собрания депутатов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оценка эффективности и результативности использования в отчётном финансовом году бюджетных средств;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выработка рекомендаций по повышению эффективности управления муниципальными финансами и муниципальной собственностью.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подготовка заключения на годовой отчет об исполнении бюджета.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2.2. Основными задачами проведения внешней проверки является: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проверка соблюдения требований к порядку составления и представления годовой отчетности об исполнении бюджета;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выборочная проверка соблюдения требований законодательства по организации и ведению бюджетного учета;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 xml:space="preserve">- проверка и анализ исполнения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</w:t>
      </w:r>
      <w:proofErr w:type="spellStart"/>
      <w:r w:rsidRPr="002124CC">
        <w:rPr>
          <w:sz w:val="24"/>
          <w:szCs w:val="24"/>
        </w:rPr>
        <w:t>Убеевском</w:t>
      </w:r>
      <w:proofErr w:type="spellEnd"/>
      <w:r w:rsidRPr="002124CC">
        <w:rPr>
          <w:sz w:val="24"/>
          <w:szCs w:val="24"/>
        </w:rPr>
        <w:t xml:space="preserve"> сельском поселении;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решение прочих контрольных и экспертно-аналитических задач, направленных на совершенствование бюджетного процесса в целом;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определение степени выполнения бюджетополучателями плановых заданий по предоставлению муниципальных услуг.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2.3. Предмет внешней проверки: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годовой отчёт об исполнении бюджета за отчётный финансовый год;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годовая бухгалтерская и бюджетная отчётность ГАБС, дополнительные материалы, документы и пояснения к ним.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2.4. Объектами проверки являются ГАБС (главные распорядители бюджетных средств, главные администраторы доходов бюджета, главные администраторы источников финансирования дефицита бюджета).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</w:p>
    <w:p w:rsidR="0086317D" w:rsidRPr="002124CC" w:rsidRDefault="0086317D" w:rsidP="0086317D">
      <w:pPr>
        <w:jc w:val="center"/>
        <w:rPr>
          <w:b/>
          <w:sz w:val="24"/>
          <w:szCs w:val="24"/>
        </w:rPr>
      </w:pPr>
      <w:r w:rsidRPr="002124CC">
        <w:rPr>
          <w:b/>
          <w:sz w:val="24"/>
          <w:szCs w:val="24"/>
          <w:lang w:val="en-US"/>
        </w:rPr>
        <w:t>III</w:t>
      </w:r>
      <w:r w:rsidRPr="002124CC">
        <w:rPr>
          <w:b/>
          <w:sz w:val="24"/>
          <w:szCs w:val="24"/>
        </w:rPr>
        <w:t>. Методические основы проведения внешней проверки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 xml:space="preserve">Методической основой внешней проверки является сравнительный анализ показателей, составляющих информационную основу, между собой и соответствия отчёта об исполнении бюджета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 решению о бюджете на очередной финансовый год, требованиям БК РФ и нормативным правовым актам Российской Федерации, Чувашской Республики,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 xml:space="preserve"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поселения, с данными, содержащимися в бухгалтерских, отчётных и иных документах проверяемых объектов.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 xml:space="preserve">В целях определения эффективности использования средств бюджета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 возможно сопоставление данных за ряд лет.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Основными приёмами финансового анализа по данным бюджетной отчётности являются: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чтение отчётности,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горизонтальный анализ,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вертикальный анализ.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Чтение отчётности 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отчётности можно судить об имущественном положении организации, характере его деятельности, соотношении средств по их видам в составе активов и т.д. В процессе чтения отчётности важно рассматривать показатели разных форм отчётности в их взаимосвязи.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отчётности.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В ходе горизонтального анализа осуществляется сравнение каждой позиции отчётности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отчётности.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Цель вертикального анализа – вычисление удельного веса отдельных статей в итоге отчёта,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целом. В процессе такого анализа целесообразно использование не только данных бюджетной отчётности, но и актов проверок, входящих и исходящих писем по вопросам финансово-хозяйственной деятельности, плановую информацию и данные внутренних отчётов. Ознакомление с ними позволяет получить дополнительный материал для всестороннего изучения специфики деятельности учреждения.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</w:p>
    <w:p w:rsidR="0086317D" w:rsidRPr="002124CC" w:rsidRDefault="0086317D" w:rsidP="0086317D">
      <w:pPr>
        <w:jc w:val="center"/>
        <w:rPr>
          <w:b/>
          <w:sz w:val="24"/>
          <w:szCs w:val="24"/>
        </w:rPr>
      </w:pPr>
      <w:r w:rsidRPr="002124CC">
        <w:rPr>
          <w:b/>
          <w:sz w:val="24"/>
          <w:szCs w:val="24"/>
          <w:lang w:val="en-US"/>
        </w:rPr>
        <w:t>IV</w:t>
      </w:r>
      <w:r w:rsidRPr="002124CC">
        <w:rPr>
          <w:b/>
          <w:sz w:val="24"/>
          <w:szCs w:val="24"/>
        </w:rPr>
        <w:t>. Организация внешней проверки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4.1. Внешняя проверка проводится на основании плана работы КСО на текущий год.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4.2. Внешняя проверка включает в себя: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проверку годового отчета об исполнении бюджета;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проверку бюджетной отчетности;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оформление заключения.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4.3. Организация внешней проверки включает следующие этапы: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подготовительный;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основной;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заключительный.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4.4. На подготовительном этапе: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проводится сбор и изучение правовой базы, в соответствии с которой должен был исполняться бюджет;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проводится изучение публикаций и полученной информации и сведений по запросам.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Результатом проведения данного этапа является подготовка программы внешней проверки.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4.5. Основной этап внешней проверки заключается в: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экспертно-аналитических мероприятиях, по анализу данных годового отчета об исполнении бюджета и данных бюджетной отчетности ГАБС;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выборочной проверки достоверности данных бюджетной отчетности;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итогов проведенных контрольных мероприятий в течение года.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Результатом проведения данного этапа внешней проверки являются заключения.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4.6. На заключительном этапе оформляется заключение на годовой отчет об исполнении бюджета.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4.7. Внешняя проверка начинается с издания приказа председателя КСО.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</w:p>
    <w:p w:rsidR="0086317D" w:rsidRPr="002124CC" w:rsidRDefault="0086317D" w:rsidP="0086317D">
      <w:pPr>
        <w:ind w:firstLine="709"/>
        <w:jc w:val="center"/>
        <w:rPr>
          <w:b/>
          <w:sz w:val="24"/>
          <w:szCs w:val="24"/>
        </w:rPr>
      </w:pPr>
      <w:r w:rsidRPr="002124CC">
        <w:rPr>
          <w:b/>
          <w:sz w:val="24"/>
          <w:szCs w:val="24"/>
          <w:lang w:val="en-US"/>
        </w:rPr>
        <w:t>V</w:t>
      </w:r>
      <w:r w:rsidRPr="002124CC">
        <w:rPr>
          <w:b/>
          <w:sz w:val="24"/>
          <w:szCs w:val="24"/>
        </w:rPr>
        <w:t>. Общие принципы и требования к проведению внешней проверки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 xml:space="preserve">5.1. Главные распорядители средств бюджета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поселения, главные администраторы доходов бюджета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поселения, главные администраторы источников финансирования дефицита бюджета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 (далее по тексту – главные администраторы бюджетных средств) не позднее 1 марта текущего финансового года представляют годовую бюджетную отчетность в КСО для внешней проверки.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в срок до 1 апреля текущего финансового года.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 xml:space="preserve">5.2. Годовой отчет об исполнении бюджета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 за отчетный финансовый год и иные документы, подлежащие представлению в Собрание депутатов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 одновременно с годовым отчетом об исполнении бюджета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поселения, направляются администрацией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 в КСО для подготовки заключения не позднее 1 апреля текущего финансового года.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 xml:space="preserve">С учетом данных внешней проверки годовой бюджетной отчетности главных администраторов бюджетных средств КСО готовит заключение на годовой отчет об исполнении бюджета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 за отчетный финансовый год и не позднее 25 апреля текущего финансового года представляет его в Собрание депутатов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поселения, а также направляет его в администрацию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 xml:space="preserve">5.3. При проведении внешней проверки проверяющие должны руководствоваться нормами бюджетного законодательства Российской Федерации, Чувашской Республики и муниципальными нормативными правовыми актами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5.4. 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обстоятельствах.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5.5. Перечень контрольных и экспертных процедур определяется в соответствии с Программой проведения внешней проверки.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5.6. В процессе реализации контрольных и экспертных полномочий проверяющие должны строить взаимоотношения с руководством и представителями (должностными лицами) объекта проверки на основе взаимного уважения.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При общении с руководством и должностными лицами объекта внешней проверки проверяющим следует придерживаться общепринятых моральных норм, а также руководствоваться принципами профессиональной этики.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5.7. Проведение контрольного и экспертного мероприятия подлежит документированию.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5.8. Проверяющие несут ответственность за сохранность документов и конфиденциальность полученной в ходе контрольного мероприятия информации.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</w:p>
    <w:p w:rsidR="0086317D" w:rsidRPr="002124CC" w:rsidRDefault="0086317D" w:rsidP="0086317D">
      <w:pPr>
        <w:jc w:val="center"/>
        <w:rPr>
          <w:b/>
          <w:sz w:val="24"/>
          <w:szCs w:val="24"/>
        </w:rPr>
      </w:pPr>
      <w:r w:rsidRPr="002124CC">
        <w:rPr>
          <w:b/>
          <w:sz w:val="24"/>
          <w:szCs w:val="24"/>
          <w:lang w:val="en-US"/>
        </w:rPr>
        <w:t>VI</w:t>
      </w:r>
      <w:r w:rsidRPr="002124CC">
        <w:rPr>
          <w:b/>
          <w:sz w:val="24"/>
          <w:szCs w:val="24"/>
        </w:rPr>
        <w:t>. Формы и методы проведения внешней проверки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6.1. При проведении внешней проверки осуществляются следующие формы контроля: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экспертно-аналитические мероприятия (экспертиза) по анализу данных бюджетной отчётности и иной информации об исполнении бюджета;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контрольно-ревизионные мероприятия по проверке достоверности данных бюджетной отчётности.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6.2. Внешняя проверка в разрезе объектов контроля может проводиться на камеральном и выездном уровне.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Выездная проверка проводится непосредственно по месту нахождения объекта контроля.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Решение о форме проведения контрольного мероприятия принимается на подготовительном этапе проверки.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6.3. Методы проведения внешней проверки: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сплошная проверка;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выборочная проверка (отбор отдельных элементов).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Определение метода проведения внешней проверки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КСО.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6.4. 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6.5. 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6.6. 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6.7. Проверка достоверности позволяет определить: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согласуется ли между собой результаты операций, финансовые положение и другая информация в бюджетной отчетности;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 xml:space="preserve">- должным ли образом раскрыта необходимая информация и </w:t>
      </w:r>
      <w:proofErr w:type="gramStart"/>
      <w:r w:rsidRPr="002124CC">
        <w:rPr>
          <w:sz w:val="24"/>
          <w:szCs w:val="24"/>
        </w:rPr>
        <w:t>правильно ли квалифицированы</w:t>
      </w:r>
      <w:proofErr w:type="gramEnd"/>
      <w:r w:rsidRPr="002124CC">
        <w:rPr>
          <w:sz w:val="24"/>
          <w:szCs w:val="24"/>
        </w:rPr>
        <w:t xml:space="preserve"> и представлены данные в бюджетной отчетности;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соответствует ли бюджетная отчетность всем требованиям законодательства и других нормативных актов, применяемых в деятельности муниципального образования.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6.8. Контрольные процедуры, проводимые при внешней проверке, делятся по характеру используемого материала (информации) на документальные и фактические.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Документальная проверка проводится на основе первичных учетных документов, регистров бюджетного учета, бюджетных смет и расчетов к ним, отчетности, нормативной и другой документации, подлежащей предоставлению объектом проверки. К основным приемам документальной проверки относятся: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экономическая и финансовая экспертиза совершенных хозяйственных операций;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приемы экономического анализа (сравнения, сопоставления, анализ показателей отчетности и т.д.);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технико-экономические расчеты.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6.9. Процедуры, осуществляемые при проведении внешней проверки, предусматривают: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1) проверку порядка организации и реализации бюджетного процесса в муниципальном образовании: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а) проверку соблюдения требований Бюджетного кодекса Российской Федерации, муниципальных правовых актов, регламентирующих бюджетный процесс (формирование и исполнение бюджета, сводной бюджетной росписи, бюджетных смет и планов финансово-хозяйственной деятельности участников бюджетного процесса, уведомлений о бюджетных ассигнованиях);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б) анализ исполнения бюджета за отчетный финансовый год (порядок внесения изменений в бюджетную роспись, структура доходной и расходной частей бюджета, соответствие показателей исполнения бюджета плановым показателям);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в) анализ выявленных нарушений и недостатков по характеру, существенности (качественной и количественной) и причинам их возникновения;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2) проверку годовой отчетности об исполнении бюджета муниципального образования на: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а) соответствие порядка подготовки годовой отчетности (по форме и полноте представления) требованиям законодательства о бюджетной отчетности;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б) 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в) соответствие плановых показателей, указанных в отчётности ГАБС, показателям утверждённого бюджета с учётом изменений внесённых в ходе исполнения бюджета;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г) соответствие фактических показателей, указанных в отчётности ГАБС, данным отчётности подведомственных получателей бюджетных средств (далее по тексту – ПБС);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д) корректность формирования сводной отчетности, консолидации показателей, а именно правильность суммирования одноименных показателей форм бюджетной отчетности ПБС,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 xml:space="preserve">е) установление полноты бюджетной отчётности ГАБС и её соответствия требованиям нормативных правовых актов, в </w:t>
      </w:r>
      <w:proofErr w:type="spellStart"/>
      <w:r w:rsidRPr="002124CC">
        <w:rPr>
          <w:sz w:val="24"/>
          <w:szCs w:val="24"/>
        </w:rPr>
        <w:t>т.ч</w:t>
      </w:r>
      <w:proofErr w:type="spellEnd"/>
      <w:r w:rsidRPr="002124CC">
        <w:rPr>
          <w:sz w:val="24"/>
          <w:szCs w:val="24"/>
        </w:rPr>
        <w:t>. необходимо провести анализ представленной к проверке отчётности ГАБС по составу, содержанию, прозрачности и информативности показателей. Под прозрачностью и информативностью годового отчёта (бюджетной отчётности) понимается отражение в ней информации в таком объёме и структуре, которые позволяют сформировать адекватную информацию (представление) обо всех составляющих исполнения бюджета в целом (годовой отчёт) или по бюджетной отчётности ГАБС.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ж) проверку соблюдения контрольных соотношений (арифметических увязок) между показателями различных форм отчетности и пояснительной записки.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</w:p>
    <w:p w:rsidR="0086317D" w:rsidRPr="002124CC" w:rsidRDefault="0086317D" w:rsidP="0086317D">
      <w:pPr>
        <w:jc w:val="center"/>
        <w:rPr>
          <w:b/>
          <w:sz w:val="24"/>
          <w:szCs w:val="24"/>
        </w:rPr>
      </w:pPr>
      <w:r w:rsidRPr="002124CC">
        <w:rPr>
          <w:b/>
          <w:sz w:val="24"/>
          <w:szCs w:val="24"/>
          <w:lang w:val="en-US"/>
        </w:rPr>
        <w:t>VII</w:t>
      </w:r>
      <w:r w:rsidRPr="002124CC">
        <w:rPr>
          <w:b/>
          <w:sz w:val="24"/>
          <w:szCs w:val="24"/>
        </w:rPr>
        <w:t>. Порядок проведения внешней проверки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7.1. Проведение внешней проверки подлежит планированию.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7.2. При планировании внешней проверки учитываются: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установленные законодательством сроки подготовки бюджетной отчетности и формирования заключения на годовой отчет об исполнении бюджета муниципального образования;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степень обеспеченности КСО ресурсами (трудовыми, материальными и финансовыми);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квалификация и опыт работы;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профессиональная компетентность и опыт проверяющих, планируемых к участию в контрольном мероприятии.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7.3. Информационной основой для проведения внешней проверки являются материалы (документы, информации), представляемые объектом контроля, а также полученные по запросам КСО из внешних источников материалы.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7.4. Непосредственно проведение контрольных процедур начинается с момента получения от объекта проверки годового отчета об исполнении бюджета и прочей информации, необходимой для проведения контрольного мероприятия.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7.5. 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бюджета муниципального образования.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7.6. Доказательства представляют собой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7.7. 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7.8. Надлежащими считаются доказательства, подтверждающие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7.9. Доказательствами при проведении внешней проверки являются: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первичные учетные документы;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регистры бухгалтерского учета;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бюджетная, статистическая и иная отчетность;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результаты процедур контроля, проведенных в ходе контрольного мероприятия и оформленные рабочими документами;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письменные заявления и разъяснения руководителя и должностных лиц объектов внешней проверки;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документы и сведения, полученные из других достоверных источников (органы казначейства и др.).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7.10. Проверяющему необходимо получить письменные заявления и разъяснения от руководства объекта проверки по всем вопросам, 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7.11. В ходе проведения выездной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также отметкой о получении запроса представителями объекта внешней проверки.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7.12. В случае представления информации ненадлежащего вида, непредставления информации или представления ее в неполном объеме составляется акт по факту непредставления сведений по запросу КСО.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7.13. Оценка надежности доказательств основывается на следующем: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доказательства, полученные из внешних источников (в том числе органов государственной власти), как правило, более надежны, чем доказательства, полученные от объекта контроля;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надежность доказательств, полученных от объекта контроля, тем выше, чем качественнее система бюджетного учета и выше оценка системы внутреннего контроля объекта проверки;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доказательства, полученные непосредственно проверяющим, более надежны, чем доказательства, полученные от объекта внешней проверки;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доказательства в документальной форме и письменные заявления более надежны, чем доказательства и заявления в устной форме;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7.14. Доказательства более надежны, если они получены из разных 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контрольного мероприятия, по сравнению с той, которая имела бы место при рассмотрении доказательств по отдельности.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Если доказательства, полученные из одного источника, не соответствуют доказательствам, полученным из другого источника, проверяющим должны быть определены дополнительные контрольные процедуры, необходимые для выяснения причин такого несоответствия.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7.15. Количественная и качественная характеристики доказательств, полученных в ходе реализации контрольных полномочий, влияют на формирование профессионального мнения проверяющего и выдачу заключения на годовой отчет.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7.16. Проверяющий получает доказательства путем выполнения соответствующих контрольных процедур.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7.17. По окончании проведения контрольных и аналитических процедур проверяющие должны: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сформулировать выводы по результатам проверки в разрезе каждого объекта контроля и подготовить соответствующее заключение на годовой отчет;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согласовать результаты внешней проверки с руководством объекта контроля.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</w:p>
    <w:p w:rsidR="0086317D" w:rsidRPr="002124CC" w:rsidRDefault="0086317D" w:rsidP="0086317D">
      <w:pPr>
        <w:jc w:val="center"/>
        <w:rPr>
          <w:sz w:val="24"/>
          <w:szCs w:val="24"/>
        </w:rPr>
      </w:pPr>
      <w:r w:rsidRPr="002124CC">
        <w:rPr>
          <w:b/>
          <w:sz w:val="24"/>
          <w:szCs w:val="24"/>
          <w:lang w:val="en-US"/>
        </w:rPr>
        <w:t>VIII</w:t>
      </w:r>
      <w:r w:rsidRPr="002124CC">
        <w:rPr>
          <w:b/>
          <w:sz w:val="24"/>
          <w:szCs w:val="24"/>
        </w:rPr>
        <w:t>. Оформление результатов внешней проверки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8.1. Результаты проверки бюджетной отчетности главных администраторов бюджетных средств оформляется заключением.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8.2. По всем расхождениям, выявленным в ходе проверки, необходимо получить пояснения ответственных лиц.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 xml:space="preserve">8.3. При наличии не достоверных данных, указать причины и следствия, которые привели к </w:t>
      </w:r>
      <w:proofErr w:type="gramStart"/>
      <w:r w:rsidRPr="002124CC">
        <w:rPr>
          <w:sz w:val="24"/>
          <w:szCs w:val="24"/>
        </w:rPr>
        <w:t>не достоверности</w:t>
      </w:r>
      <w:proofErr w:type="gramEnd"/>
      <w:r w:rsidRPr="002124CC">
        <w:rPr>
          <w:sz w:val="24"/>
          <w:szCs w:val="24"/>
        </w:rPr>
        <w:t xml:space="preserve"> бюджетной отчетности.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8.4. В заключении в обязательном порядке указывается наличие расхождений показателей бюджетного учета и отчетности, их причины и методы исправления.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 xml:space="preserve">8.5. По итогам внешней проверки годового отчета об исполнении бюджета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 за отчетный финансовый год КСО готовится заключение в разрезе закрепленных направлений деятельности с учётом результатов проверок ГАБС, тематических проверок и экспертно-аналитических мероприятий.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8.6. В заключении должны содержаться следующие основные сведения: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сравнение данных отчета об исполнении бюджета с утвержденными показателями бюджета;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анализ исполнения доходной части бюджета по основным источникам, в том числе налоговым и неналоговым доходам бюджета;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анализ исполнения расходной части бюджета по разделам и подразделам функциональной классификации;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анализ использования средств резервного фонда на основании данных отчета об использовании средств резервного фонда;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анализ предоставления и погашения бюджетных кредитов, источников финансирования дефицита бюджета.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8.7. Структура заключение должна содержать следующие части: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наименование контрольного органа, проводившего внешнюю проверку;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предмет внешней проверки;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объекты внешней проверки;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>- основной текст заключения;</w:t>
      </w:r>
    </w:p>
    <w:p w:rsidR="0086317D" w:rsidRPr="002124CC" w:rsidRDefault="0086317D" w:rsidP="0086317D">
      <w:pPr>
        <w:ind w:firstLine="709"/>
        <w:jc w:val="both"/>
        <w:rPr>
          <w:sz w:val="24"/>
          <w:szCs w:val="24"/>
        </w:rPr>
      </w:pPr>
      <w:r w:rsidRPr="002124CC">
        <w:rPr>
          <w:sz w:val="24"/>
          <w:szCs w:val="24"/>
        </w:rPr>
        <w:t xml:space="preserve">- выводы о возможности принятия проекта решения годового отчета об исполнении бюджета </w:t>
      </w:r>
      <w:proofErr w:type="spellStart"/>
      <w:r w:rsidRPr="002124CC">
        <w:rPr>
          <w:sz w:val="24"/>
          <w:szCs w:val="24"/>
        </w:rPr>
        <w:t>Убеевского</w:t>
      </w:r>
      <w:proofErr w:type="spellEnd"/>
      <w:r w:rsidRPr="002124CC">
        <w:rPr>
          <w:sz w:val="24"/>
          <w:szCs w:val="24"/>
        </w:rPr>
        <w:t xml:space="preserve"> сельского поселения за отчетный финансовый год;</w:t>
      </w:r>
    </w:p>
    <w:p w:rsidR="0086317D" w:rsidRPr="002124CC" w:rsidRDefault="0086317D" w:rsidP="0086317D">
      <w:pPr>
        <w:spacing w:line="240" w:lineRule="exact"/>
        <w:rPr>
          <w:sz w:val="24"/>
          <w:szCs w:val="24"/>
        </w:rPr>
      </w:pPr>
      <w:r w:rsidRPr="002124CC">
        <w:rPr>
          <w:sz w:val="24"/>
          <w:szCs w:val="24"/>
        </w:rPr>
        <w:t>- подпись руководителя контрольного органа.</w:t>
      </w:r>
    </w:p>
    <w:p w:rsidR="0086317D" w:rsidRPr="002124CC" w:rsidRDefault="0086317D" w:rsidP="0086317D">
      <w:pPr>
        <w:spacing w:line="240" w:lineRule="exact"/>
        <w:rPr>
          <w:sz w:val="24"/>
          <w:szCs w:val="24"/>
        </w:rPr>
      </w:pPr>
    </w:p>
    <w:p w:rsidR="0086317D" w:rsidRPr="002124CC" w:rsidRDefault="0086317D" w:rsidP="0086317D">
      <w:pPr>
        <w:spacing w:line="240" w:lineRule="exact"/>
        <w:rPr>
          <w:sz w:val="24"/>
          <w:szCs w:val="24"/>
        </w:rPr>
      </w:pPr>
    </w:p>
    <w:p w:rsidR="0086317D" w:rsidRPr="002124CC" w:rsidRDefault="0086317D" w:rsidP="0086317D">
      <w:pPr>
        <w:spacing w:line="240" w:lineRule="exact"/>
        <w:rPr>
          <w:sz w:val="24"/>
          <w:szCs w:val="24"/>
        </w:rPr>
      </w:pPr>
    </w:p>
    <w:p w:rsidR="0086317D" w:rsidRPr="002124CC" w:rsidRDefault="0086317D" w:rsidP="0086317D">
      <w:pPr>
        <w:spacing w:line="240" w:lineRule="exact"/>
        <w:rPr>
          <w:sz w:val="24"/>
          <w:szCs w:val="24"/>
        </w:rPr>
      </w:pPr>
    </w:p>
    <w:p w:rsidR="009D7FC3" w:rsidRDefault="009D7FC3"/>
    <w:sectPr w:rsidR="009D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7D"/>
    <w:rsid w:val="0086317D"/>
    <w:rsid w:val="009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B9C9EB-85F6-480A-ADE7-B075F6D8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17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86317D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5">
    <w:name w:val="Цветовое выделение"/>
    <w:uiPriority w:val="99"/>
    <w:rsid w:val="0086317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</cp:revision>
  <dcterms:created xsi:type="dcterms:W3CDTF">2021-04-15T10:25:00Z</dcterms:created>
  <dcterms:modified xsi:type="dcterms:W3CDTF">2021-04-15T10:26:00Z</dcterms:modified>
</cp:coreProperties>
</file>