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74" w:rsidRPr="00765D7F" w:rsidRDefault="00D15974" w:rsidP="00D15974">
      <w:pPr>
        <w:ind w:hanging="720"/>
        <w:jc w:val="center"/>
      </w:pPr>
      <w:r w:rsidRPr="00765D7F">
        <w:t>Справка</w:t>
      </w:r>
    </w:p>
    <w:p w:rsidR="00D15974" w:rsidRDefault="00D15974" w:rsidP="00D15974">
      <w:pPr>
        <w:ind w:right="-1"/>
        <w:jc w:val="center"/>
      </w:pPr>
      <w:r w:rsidRPr="00937507">
        <w:t xml:space="preserve">об источнике и дате официального опубликования (обнародования) </w:t>
      </w:r>
      <w:r>
        <w:t>постановления администрации</w:t>
      </w:r>
      <w:r w:rsidRPr="00937507">
        <w:t xml:space="preserve"> </w:t>
      </w:r>
      <w:r w:rsidRPr="00A3635C">
        <w:t xml:space="preserve">Кульгешского сельского поселения  от  29.07.2021г. № 30 «Об утверждении </w:t>
      </w:r>
      <w:r w:rsidRPr="00A3635C">
        <w:rPr>
          <w:bCs/>
          <w:color w:val="000000"/>
        </w:rPr>
        <w:t xml:space="preserve">Программы  энергосбережения и повышения энергетической эффективности </w:t>
      </w:r>
      <w:r w:rsidRPr="00A3635C">
        <w:t>администрации Кульгешского сельского поселения Урмарского района Чувашской Республики  на 2021-2023 годы»</w:t>
      </w:r>
    </w:p>
    <w:p w:rsidR="00D15974" w:rsidRPr="00A3635C" w:rsidRDefault="00D15974" w:rsidP="00D15974">
      <w:pPr>
        <w:ind w:right="-1"/>
      </w:pPr>
    </w:p>
    <w:tbl>
      <w:tblPr>
        <w:tblW w:w="0" w:type="auto"/>
        <w:tblInd w:w="79" w:type="dxa"/>
        <w:tblLayout w:type="fixed"/>
        <w:tblLook w:val="04A0"/>
      </w:tblPr>
      <w:tblGrid>
        <w:gridCol w:w="5249"/>
        <w:gridCol w:w="4049"/>
      </w:tblGrid>
      <w:tr w:rsidR="00D15974" w:rsidRPr="00765D7F" w:rsidTr="00435D86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974" w:rsidRPr="00765D7F" w:rsidRDefault="00D15974" w:rsidP="00435D86">
            <w:pPr>
              <w:snapToGrid w:val="0"/>
              <w:spacing w:after="160" w:line="276" w:lineRule="auto"/>
              <w:ind w:right="-1"/>
              <w:rPr>
                <w:kern w:val="2"/>
              </w:rPr>
            </w:pPr>
            <w:r w:rsidRPr="00765D7F">
              <w:t xml:space="preserve">Наименование источника официального опубликования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74" w:rsidRPr="00765D7F" w:rsidRDefault="00D15974" w:rsidP="00435D86">
            <w:pPr>
              <w:snapToGrid w:val="0"/>
              <w:spacing w:after="160" w:line="276" w:lineRule="auto"/>
              <w:ind w:right="-1"/>
              <w:rPr>
                <w:kern w:val="2"/>
              </w:rPr>
            </w:pPr>
            <w:r w:rsidRPr="00765D7F">
              <w:t>Периодическое печатное издание «Кульгешский вестник»</w:t>
            </w:r>
          </w:p>
        </w:tc>
      </w:tr>
      <w:tr w:rsidR="00D15974" w:rsidRPr="00765D7F" w:rsidTr="00435D86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74" w:rsidRPr="00765D7F" w:rsidRDefault="00D15974" w:rsidP="00435D86">
            <w:pPr>
              <w:snapToGrid w:val="0"/>
              <w:spacing w:line="276" w:lineRule="auto"/>
              <w:rPr>
                <w:kern w:val="2"/>
              </w:rPr>
            </w:pPr>
            <w:r w:rsidRPr="00765D7F">
              <w:t>Дата издания (обнародования)</w:t>
            </w:r>
          </w:p>
          <w:p w:rsidR="00D15974" w:rsidRPr="00765D7F" w:rsidRDefault="00D15974" w:rsidP="00435D86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74" w:rsidRPr="00765D7F" w:rsidRDefault="00D15974" w:rsidP="00435D86">
            <w:pPr>
              <w:snapToGrid w:val="0"/>
              <w:spacing w:after="160" w:line="276" w:lineRule="auto"/>
              <w:rPr>
                <w:kern w:val="2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29</w:t>
            </w:r>
            <w:r w:rsidRPr="00765D7F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7</w:t>
            </w:r>
            <w:r w:rsidRPr="00765D7F">
              <w:rPr>
                <w:shd w:val="clear" w:color="auto" w:fill="FFFFFF"/>
              </w:rPr>
              <w:t>.2021</w:t>
            </w:r>
          </w:p>
        </w:tc>
      </w:tr>
      <w:tr w:rsidR="00D15974" w:rsidRPr="00765D7F" w:rsidTr="00435D86">
        <w:trPr>
          <w:trHeight w:val="64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74" w:rsidRPr="00765D7F" w:rsidRDefault="00D15974" w:rsidP="00435D86">
            <w:pPr>
              <w:snapToGrid w:val="0"/>
              <w:spacing w:line="276" w:lineRule="auto"/>
              <w:rPr>
                <w:kern w:val="2"/>
              </w:rPr>
            </w:pPr>
            <w:r w:rsidRPr="00765D7F">
              <w:t>Номер выпуска</w:t>
            </w:r>
          </w:p>
          <w:p w:rsidR="00D15974" w:rsidRPr="00765D7F" w:rsidRDefault="00D15974" w:rsidP="00435D86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74" w:rsidRPr="00765D7F" w:rsidRDefault="00D15974" w:rsidP="00435D86">
            <w:pPr>
              <w:snapToGrid w:val="0"/>
              <w:spacing w:after="160" w:line="276" w:lineRule="auto"/>
              <w:rPr>
                <w:kern w:val="2"/>
              </w:rPr>
            </w:pPr>
            <w:r w:rsidRPr="00765D7F">
              <w:t xml:space="preserve">№ </w:t>
            </w:r>
            <w:r>
              <w:t>12 (307</w:t>
            </w:r>
            <w:r w:rsidRPr="00765D7F">
              <w:t>)</w:t>
            </w:r>
          </w:p>
        </w:tc>
      </w:tr>
      <w:tr w:rsidR="00D15974" w:rsidRPr="00765D7F" w:rsidTr="00435D86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974" w:rsidRDefault="00D15974" w:rsidP="00435D86">
            <w:pPr>
              <w:ind w:right="-1"/>
            </w:pPr>
            <w:r w:rsidRPr="00937507">
              <w:t xml:space="preserve">Номер страницы при отсутствии номера </w:t>
            </w:r>
            <w:proofErr w:type="gramStart"/>
            <w:r w:rsidRPr="00937507">
              <w:t>статьи</w:t>
            </w:r>
            <w:proofErr w:type="gramEnd"/>
            <w:r w:rsidRPr="00937507">
              <w:t xml:space="preserve"> с которой начинается текст  </w:t>
            </w:r>
            <w:r w:rsidRPr="00937507">
              <w:rPr>
                <w:shd w:val="clear" w:color="auto" w:fill="FFFFFF"/>
              </w:rPr>
              <w:t xml:space="preserve"> </w:t>
            </w:r>
            <w:r>
              <w:t>постановления администрации</w:t>
            </w:r>
            <w:r w:rsidRPr="00937507">
              <w:t xml:space="preserve"> </w:t>
            </w:r>
            <w:r w:rsidRPr="00A3635C">
              <w:t xml:space="preserve">Кульгешского сельского поселения  от  29.07.2021г. № 30 «Об утверждении </w:t>
            </w:r>
            <w:r w:rsidRPr="00A3635C">
              <w:rPr>
                <w:bCs/>
                <w:color w:val="000000"/>
              </w:rPr>
              <w:t xml:space="preserve">Программы  энергосбережения и повышения энергетической эффективности </w:t>
            </w:r>
            <w:r w:rsidRPr="00A3635C">
              <w:t>администрации Кульгешского сельского поселения Урмарского района Чувашской Республики  на 2021-2023 годы»</w:t>
            </w:r>
          </w:p>
          <w:p w:rsidR="00D15974" w:rsidRPr="00765D7F" w:rsidRDefault="00D15974" w:rsidP="00435D86">
            <w:pPr>
              <w:spacing w:before="100" w:beforeAutospacing="1" w:after="100" w:afterAutospacing="1"/>
              <w:ind w:right="-1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74" w:rsidRPr="00765D7F" w:rsidRDefault="00D15974" w:rsidP="00435D86">
            <w:pPr>
              <w:snapToGrid w:val="0"/>
              <w:spacing w:line="276" w:lineRule="auto"/>
            </w:pPr>
            <w:r w:rsidRPr="00765D7F">
              <w:t xml:space="preserve">Страница </w:t>
            </w:r>
            <w:r>
              <w:t xml:space="preserve"> 2-14</w:t>
            </w:r>
          </w:p>
          <w:p w:rsidR="00D15974" w:rsidRPr="00765D7F" w:rsidRDefault="00D15974" w:rsidP="00435D86">
            <w:pPr>
              <w:snapToGrid w:val="0"/>
              <w:spacing w:after="160" w:line="276" w:lineRule="auto"/>
              <w:rPr>
                <w:kern w:val="2"/>
              </w:rPr>
            </w:pPr>
          </w:p>
        </w:tc>
      </w:tr>
    </w:tbl>
    <w:p w:rsidR="00D15974" w:rsidRDefault="00D15974" w:rsidP="00D15974">
      <w:pPr>
        <w:rPr>
          <w:kern w:val="2"/>
        </w:rPr>
      </w:pPr>
    </w:p>
    <w:p w:rsidR="00D15974" w:rsidRDefault="00D15974" w:rsidP="00D15974">
      <w:pPr>
        <w:rPr>
          <w:kern w:val="2"/>
        </w:rPr>
      </w:pPr>
    </w:p>
    <w:p w:rsidR="00D15974" w:rsidRPr="00765D7F" w:rsidRDefault="00D15974" w:rsidP="00D15974">
      <w:pPr>
        <w:rPr>
          <w:kern w:val="2"/>
        </w:rPr>
      </w:pPr>
    </w:p>
    <w:p w:rsidR="00D15974" w:rsidRDefault="00D15974" w:rsidP="00D15974">
      <w:r w:rsidRPr="00765D7F">
        <w:t>Глава Кульгешского сельского поселения</w:t>
      </w:r>
    </w:p>
    <w:p w:rsidR="00D15974" w:rsidRPr="00765D7F" w:rsidRDefault="00D15974" w:rsidP="00D15974">
      <w:r w:rsidRPr="00765D7F">
        <w:t xml:space="preserve">Урмарского района                                                                                                О.С. Кузьмин     </w:t>
      </w:r>
    </w:p>
    <w:p w:rsidR="00D15974" w:rsidRPr="00765D7F" w:rsidRDefault="00D15974" w:rsidP="00D15974"/>
    <w:p w:rsidR="00D15974" w:rsidRDefault="00D15974" w:rsidP="00D15974">
      <w:pPr>
        <w:ind w:hanging="720"/>
        <w:rPr>
          <w:u w:val="single"/>
        </w:rPr>
      </w:pPr>
      <w:r w:rsidRPr="00765D7F">
        <w:t xml:space="preserve">            </w:t>
      </w:r>
      <w:r w:rsidRPr="00765D7F">
        <w:rPr>
          <w:u w:val="single"/>
        </w:rPr>
        <w:t>«0</w:t>
      </w:r>
      <w:r>
        <w:rPr>
          <w:u w:val="single"/>
        </w:rPr>
        <w:t>2» июля</w:t>
      </w:r>
      <w:r w:rsidRPr="00765D7F">
        <w:rPr>
          <w:u w:val="single"/>
        </w:rPr>
        <w:t>_2021 г.</w:t>
      </w: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D15974" w:rsidRDefault="00D15974" w:rsidP="00D15974">
      <w:pPr>
        <w:ind w:hanging="720"/>
        <w:rPr>
          <w:u w:val="single"/>
        </w:rPr>
      </w:pPr>
    </w:p>
    <w:p w:rsidR="00BB1599" w:rsidRDefault="00BB1599" w:rsidP="00BB1599"/>
    <w:p w:rsidR="00BB1599" w:rsidRDefault="00BB1599" w:rsidP="00BB1599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4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BB1599" w:rsidRDefault="00BB1599" w:rsidP="00BB1599">
      <w:pPr>
        <w:shd w:val="clear" w:color="auto" w:fill="FFFFFF"/>
        <w:jc w:val="right"/>
      </w:pPr>
      <w:r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BB1599" w:rsidTr="008430C0">
        <w:trPr>
          <w:cantSplit/>
          <w:trHeight w:val="420"/>
        </w:trPr>
        <w:tc>
          <w:tcPr>
            <w:tcW w:w="4183" w:type="dxa"/>
          </w:tcPr>
          <w:p w:rsidR="00BB1599" w:rsidRDefault="00BB1599" w:rsidP="008430C0">
            <w:pPr>
              <w:pStyle w:val="a20"/>
              <w:tabs>
                <w:tab w:val="left" w:pos="4285"/>
              </w:tabs>
              <w:snapToGrid w:val="0"/>
              <w:spacing w:before="0" w:after="0" w:line="276" w:lineRule="auto"/>
              <w:jc w:val="center"/>
            </w:pPr>
          </w:p>
          <w:p w:rsidR="00BB1599" w:rsidRDefault="00BB1599" w:rsidP="008430C0">
            <w:pPr>
              <w:pStyle w:val="a20"/>
              <w:tabs>
                <w:tab w:val="left" w:pos="4285"/>
              </w:tabs>
              <w:spacing w:before="0" w:after="0" w:line="276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  <w:rFonts w:eastAsiaTheme="majorEastAsia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BB1599" w:rsidRDefault="00BB1599" w:rsidP="008430C0">
            <w:pPr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</w:tcPr>
          <w:p w:rsidR="00BB1599" w:rsidRDefault="00BB1599" w:rsidP="008430C0">
            <w:pPr>
              <w:pStyle w:val="a20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</w:p>
          <w:p w:rsidR="00BB1599" w:rsidRDefault="00BB1599" w:rsidP="008430C0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BB1599" w:rsidRDefault="00BB1599" w:rsidP="008430C0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BB1599" w:rsidTr="008430C0">
        <w:trPr>
          <w:cantSplit/>
          <w:trHeight w:val="1570"/>
        </w:trPr>
        <w:tc>
          <w:tcPr>
            <w:tcW w:w="4183" w:type="dxa"/>
          </w:tcPr>
          <w:p w:rsidR="00BB1599" w:rsidRDefault="00BB1599" w:rsidP="008430C0">
            <w:pPr>
              <w:pStyle w:val="a2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</w:pP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</w:pPr>
            <w:r>
              <w:rPr>
                <w:rStyle w:val="a5"/>
                <w:rFonts w:eastAsiaTheme="majorEastAsia"/>
              </w:rPr>
              <w:t>ПОСТАНОВЛЕНИЕ</w:t>
            </w: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</w:pP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29.07.2021  № 30    </w:t>
            </w:r>
          </w:p>
          <w:p w:rsidR="00BB1599" w:rsidRDefault="00BB1599" w:rsidP="008430C0">
            <w:pPr>
              <w:spacing w:line="276" w:lineRule="auto"/>
              <w:jc w:val="center"/>
            </w:pPr>
            <w:r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BB1599" w:rsidRDefault="00BB1599" w:rsidP="008430C0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BB1599" w:rsidRDefault="00BB1599" w:rsidP="008430C0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BB1599" w:rsidRDefault="00BB1599" w:rsidP="008430C0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rStyle w:val="a4"/>
              </w:rPr>
              <w:t>АДМИНИСТРАЦИЙĔ</w:t>
            </w:r>
          </w:p>
          <w:p w:rsidR="00BB1599" w:rsidRDefault="00BB1599" w:rsidP="008430C0">
            <w:pPr>
              <w:spacing w:line="276" w:lineRule="auto"/>
              <w:jc w:val="center"/>
            </w:pPr>
          </w:p>
          <w:p w:rsidR="00BB1599" w:rsidRDefault="00BB1599" w:rsidP="008430C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  <w:rPr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</w:t>
            </w:r>
          </w:p>
          <w:p w:rsidR="00BB1599" w:rsidRDefault="00BB1599" w:rsidP="008430C0">
            <w:pPr>
              <w:pStyle w:val="a20"/>
              <w:spacing w:before="0" w:after="0"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29.07.2021  30 № </w:t>
            </w:r>
          </w:p>
          <w:p w:rsidR="00BB1599" w:rsidRDefault="00BB1599" w:rsidP="008430C0">
            <w:pPr>
              <w:spacing w:line="276" w:lineRule="auto"/>
              <w:jc w:val="center"/>
            </w:pPr>
            <w:proofErr w:type="spellStart"/>
            <w:r>
              <w:t>Кĕлкеш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  <w:p w:rsidR="00BB1599" w:rsidRDefault="00BB1599" w:rsidP="008430C0">
            <w:pPr>
              <w:spacing w:line="276" w:lineRule="auto"/>
              <w:jc w:val="center"/>
            </w:pPr>
          </w:p>
        </w:tc>
      </w:tr>
    </w:tbl>
    <w:p w:rsidR="00BB1599" w:rsidRDefault="00BB1599" w:rsidP="00BB1599">
      <w:pPr>
        <w:spacing w:before="30" w:after="30"/>
        <w:ind w:right="4961"/>
      </w:pPr>
      <w:r>
        <w:t xml:space="preserve">Об утверждении </w:t>
      </w:r>
      <w:r>
        <w:rPr>
          <w:bCs/>
          <w:color w:val="000000"/>
        </w:rPr>
        <w:t xml:space="preserve">Программы  энергосбережения и повышения энергетической эффективности </w:t>
      </w:r>
      <w:r>
        <w:t>администрации Кульгешского сельского поселения Урмарского района Чувашской Республики  на 2021-2023 годы</w:t>
      </w:r>
    </w:p>
    <w:p w:rsidR="00BB1599" w:rsidRDefault="00BB1599" w:rsidP="00BB1599"/>
    <w:p w:rsidR="00BB1599" w:rsidRDefault="00BB1599" w:rsidP="00BB1599">
      <w:pPr>
        <w:ind w:firstLine="709"/>
        <w:rPr>
          <w:color w:val="000000"/>
        </w:rPr>
      </w:pPr>
      <w:r>
        <w:rPr>
          <w:color w:val="000000"/>
        </w:rPr>
        <w:t>В соответствии с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а</w:t>
      </w:r>
      <w:r>
        <w:t xml:space="preserve">дминистрация Кульгешского сельского поселения Урмарского района Чувашской Республики   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B1599" w:rsidRDefault="00BB1599" w:rsidP="00BB1599">
      <w:pPr>
        <w:ind w:right="-1" w:firstLine="709"/>
      </w:pPr>
    </w:p>
    <w:p w:rsidR="00BB1599" w:rsidRDefault="00BB1599" w:rsidP="00BB1599">
      <w:pPr>
        <w:spacing w:before="30" w:after="30"/>
        <w:ind w:firstLine="709"/>
      </w:pPr>
      <w:r>
        <w:t>1.Утвердить прилагаемую Программу энергосбережения</w:t>
      </w:r>
      <w:r>
        <w:rPr>
          <w:bCs/>
          <w:color w:val="000000"/>
        </w:rPr>
        <w:t xml:space="preserve"> и повышения энергетической эффективности </w:t>
      </w:r>
      <w:r>
        <w:t xml:space="preserve"> администрации Кульгешского сельского поселения Урмарского района Чувашской Республики на 2021-2023 годы.</w:t>
      </w:r>
    </w:p>
    <w:p w:rsidR="00BB1599" w:rsidRDefault="00BB1599" w:rsidP="00BB1599">
      <w:pPr>
        <w:spacing w:before="30" w:after="30"/>
        <w:ind w:firstLine="709"/>
      </w:pPr>
      <w:r>
        <w:t>2. Признать утратившим силу постановление администрации Кульгешского сельского поселения Урмарского района Чувашской Республики от 16.03.2021 № 12</w:t>
      </w:r>
    </w:p>
    <w:p w:rsidR="00BB1599" w:rsidRDefault="00BB1599" w:rsidP="00BB1599">
      <w:pPr>
        <w:spacing w:before="30" w:after="30"/>
        <w:ind w:firstLine="709"/>
      </w:pPr>
      <w:r>
        <w:t xml:space="preserve">3. Обязанности по контролю над исполнением Программы энергосбережения </w:t>
      </w:r>
      <w:r>
        <w:rPr>
          <w:bCs/>
          <w:color w:val="000000"/>
        </w:rPr>
        <w:t xml:space="preserve">и повышения энергетической эффективности </w:t>
      </w:r>
      <w:r>
        <w:t>оставляю за собой.</w:t>
      </w:r>
    </w:p>
    <w:p w:rsidR="00BB1599" w:rsidRDefault="00BB1599" w:rsidP="00BB1599">
      <w:pPr>
        <w:spacing w:line="276" w:lineRule="auto"/>
      </w:pPr>
    </w:p>
    <w:p w:rsidR="00BB1599" w:rsidRDefault="00BB1599" w:rsidP="00BB1599">
      <w:pPr>
        <w:spacing w:line="276" w:lineRule="auto"/>
      </w:pPr>
    </w:p>
    <w:p w:rsidR="00BB1599" w:rsidRDefault="00BB1599" w:rsidP="00BB1599">
      <w:r>
        <w:t xml:space="preserve">Глава  Кульгешского сельского поселения </w:t>
      </w:r>
    </w:p>
    <w:p w:rsidR="00BB1599" w:rsidRDefault="00BB1599" w:rsidP="00BB1599">
      <w:r>
        <w:t xml:space="preserve">Урмарского района Чувашской Республики                                                      О.С. Кузьмин                                                                </w:t>
      </w:r>
    </w:p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/>
    <w:p w:rsidR="00BB1599" w:rsidRDefault="00BB1599" w:rsidP="00BB1599">
      <w:pPr>
        <w:pStyle w:val="ab"/>
        <w:ind w:right="839"/>
        <w:rPr>
          <w:b/>
          <w:bCs/>
          <w:sz w:val="28"/>
          <w:szCs w:val="28"/>
        </w:rPr>
      </w:pPr>
    </w:p>
    <w:p w:rsidR="00BB1599" w:rsidRDefault="00BB1599" w:rsidP="00BB1599">
      <w:pPr>
        <w:pStyle w:val="ab"/>
        <w:ind w:right="839"/>
        <w:rPr>
          <w:b/>
          <w:bCs/>
          <w:sz w:val="28"/>
          <w:szCs w:val="28"/>
        </w:rPr>
      </w:pPr>
    </w:p>
    <w:p w:rsidR="00BB1599" w:rsidRDefault="00BB1599" w:rsidP="00BB1599">
      <w:pPr>
        <w:ind w:left="1418"/>
      </w:pPr>
    </w:p>
    <w:tbl>
      <w:tblPr>
        <w:tblpPr w:leftFromText="180" w:rightFromText="180" w:bottomFromText="200" w:vertAnchor="text" w:horzAnchor="page" w:tblpX="5691" w:tblpY="114"/>
        <w:tblOverlap w:val="never"/>
        <w:tblW w:w="0" w:type="auto"/>
        <w:tblLook w:val="04A0"/>
      </w:tblPr>
      <w:tblGrid>
        <w:gridCol w:w="5323"/>
      </w:tblGrid>
      <w:tr w:rsidR="00BB1599" w:rsidTr="008430C0">
        <w:tc>
          <w:tcPr>
            <w:tcW w:w="5323" w:type="dxa"/>
            <w:hideMark/>
          </w:tcPr>
          <w:p w:rsidR="00BB1599" w:rsidRPr="002458E1" w:rsidRDefault="00BB1599" w:rsidP="008430C0">
            <w:pPr>
              <w:spacing w:line="276" w:lineRule="auto"/>
              <w:ind w:left="1276"/>
              <w:jc w:val="center"/>
              <w:rPr>
                <w:sz w:val="28"/>
                <w:szCs w:val="28"/>
              </w:rPr>
            </w:pPr>
            <w:r w:rsidRPr="002458E1">
              <w:rPr>
                <w:sz w:val="28"/>
                <w:szCs w:val="28"/>
              </w:rPr>
              <w:t>Утверждено</w:t>
            </w:r>
          </w:p>
        </w:tc>
      </w:tr>
      <w:tr w:rsidR="00BB1599" w:rsidTr="008430C0">
        <w:tc>
          <w:tcPr>
            <w:tcW w:w="5323" w:type="dxa"/>
          </w:tcPr>
          <w:p w:rsidR="00BB1599" w:rsidRPr="002458E1" w:rsidRDefault="00BB1599" w:rsidP="008430C0">
            <w:pPr>
              <w:pStyle w:val="a7"/>
              <w:spacing w:after="0" w:line="240" w:lineRule="auto"/>
              <w:ind w:left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8E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458E1">
              <w:rPr>
                <w:rFonts w:ascii="Times New Roman" w:hAnsi="Times New Roman"/>
                <w:sz w:val="28"/>
                <w:szCs w:val="28"/>
              </w:rPr>
              <w:t xml:space="preserve"> администрации Кульгешского  </w:t>
            </w:r>
            <w:proofErr w:type="gramStart"/>
            <w:r w:rsidRPr="002458E1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2458E1">
              <w:rPr>
                <w:rFonts w:ascii="Times New Roman" w:hAnsi="Times New Roman"/>
                <w:sz w:val="28"/>
                <w:szCs w:val="28"/>
              </w:rPr>
              <w:t xml:space="preserve"> полселения</w:t>
            </w:r>
          </w:p>
        </w:tc>
      </w:tr>
      <w:tr w:rsidR="00BB1599" w:rsidTr="008430C0">
        <w:tc>
          <w:tcPr>
            <w:tcW w:w="5323" w:type="dxa"/>
          </w:tcPr>
          <w:p w:rsidR="00BB1599" w:rsidRPr="002458E1" w:rsidRDefault="00BB1599" w:rsidP="008430C0">
            <w:pPr>
              <w:ind w:left="1134"/>
              <w:jc w:val="center"/>
              <w:rPr>
                <w:sz w:val="28"/>
                <w:szCs w:val="28"/>
              </w:rPr>
            </w:pPr>
            <w:r w:rsidRPr="002458E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29.07.2021</w:t>
            </w:r>
            <w:r w:rsidRPr="002458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458E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30</w:t>
            </w:r>
            <w:r w:rsidRPr="002458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1599" w:rsidTr="008430C0">
        <w:tc>
          <w:tcPr>
            <w:tcW w:w="5323" w:type="dxa"/>
          </w:tcPr>
          <w:p w:rsidR="00BB1599" w:rsidRDefault="00BB1599" w:rsidP="008430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1599" w:rsidRDefault="00BB1599" w:rsidP="00BB1599">
      <w:pPr>
        <w:pStyle w:val="ae"/>
        <w:ind w:left="1418" w:firstLine="0"/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left="1745"/>
        <w:jc w:val="left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rPr>
          <w:sz w:val="40"/>
          <w:szCs w:val="40"/>
        </w:rPr>
      </w:pPr>
      <w:r w:rsidRPr="001A4845">
        <w:rPr>
          <w:sz w:val="40"/>
          <w:szCs w:val="40"/>
        </w:rPr>
        <w:t>ПРОГРАММА ЭНЕРГОСБЕРЕЖЕНИЯ И ПОВЫШЕНИЯ ЭНЕРГЕТИЧЕСКОЙ ЭФФЕКТИВНОСТИ</w:t>
      </w:r>
    </w:p>
    <w:p w:rsidR="00BB1599" w:rsidRDefault="00BB1599" w:rsidP="00BB1599">
      <w:pPr>
        <w:pStyle w:val="a9"/>
        <w:rPr>
          <w:sz w:val="40"/>
          <w:szCs w:val="40"/>
        </w:rPr>
      </w:pPr>
    </w:p>
    <w:p w:rsidR="00BB1599" w:rsidRPr="001A4845" w:rsidRDefault="00BB1599" w:rsidP="00BB1599">
      <w:pPr>
        <w:pStyle w:val="a9"/>
        <w:rPr>
          <w:sz w:val="40"/>
          <w:szCs w:val="40"/>
        </w:rPr>
      </w:pPr>
      <w:r w:rsidRPr="001A4845">
        <w:rPr>
          <w:sz w:val="40"/>
          <w:szCs w:val="40"/>
        </w:rPr>
        <w:t xml:space="preserve"> АДМИНИСТРАЦИИ КУЛЬГЕШСКОГО  СЕЛЬСКОГО ПОСЕЛЕНИЯ УРМАРСКОГО РАЙОНА ЧУВАШСКОЙ РЕСПУБЛИКИ</w:t>
      </w:r>
    </w:p>
    <w:p w:rsidR="00BB1599" w:rsidRDefault="00BB1599" w:rsidP="00BB1599">
      <w:pPr>
        <w:pStyle w:val="a9"/>
        <w:ind w:right="-24"/>
        <w:rPr>
          <w:b w:val="0"/>
          <w:sz w:val="40"/>
          <w:szCs w:val="40"/>
        </w:rPr>
      </w:pPr>
    </w:p>
    <w:p w:rsidR="00BB1599" w:rsidRDefault="00BB1599" w:rsidP="00BB1599">
      <w:pPr>
        <w:pStyle w:val="a9"/>
        <w:ind w:right="-24"/>
        <w:rPr>
          <w:b w:val="0"/>
          <w:sz w:val="40"/>
          <w:szCs w:val="40"/>
        </w:rPr>
      </w:pPr>
      <w:r>
        <w:rPr>
          <w:sz w:val="40"/>
          <w:szCs w:val="40"/>
        </w:rPr>
        <w:t>на 2021-2023 гг.</w:t>
      </w:r>
    </w:p>
    <w:p w:rsidR="00BB1599" w:rsidRDefault="00BB1599" w:rsidP="00BB1599">
      <w:pPr>
        <w:pStyle w:val="a9"/>
        <w:spacing w:line="360" w:lineRule="auto"/>
        <w:jc w:val="left"/>
      </w:pPr>
    </w:p>
    <w:p w:rsidR="00BB1599" w:rsidRDefault="00BB1599" w:rsidP="00BB1599">
      <w:pPr>
        <w:pStyle w:val="a9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pStyle w:val="a9"/>
        <w:ind w:left="1418"/>
      </w:pPr>
    </w:p>
    <w:p w:rsidR="00BB1599" w:rsidRDefault="00BB1599" w:rsidP="00BB1599">
      <w:pPr>
        <w:suppressAutoHyphens w:val="0"/>
        <w:jc w:val="left"/>
        <w:rPr>
          <w:sz w:val="28"/>
          <w:szCs w:val="28"/>
        </w:rPr>
        <w:sectPr w:rsidR="00BB1599" w:rsidSect="001A4845">
          <w:pgSz w:w="11920" w:h="16860"/>
          <w:pgMar w:top="560" w:right="1005" w:bottom="1120" w:left="1701" w:header="720" w:footer="927" w:gutter="0"/>
          <w:pgNumType w:start="1"/>
          <w:cols w:space="720"/>
        </w:sectPr>
      </w:pPr>
    </w:p>
    <w:p w:rsidR="00BB1599" w:rsidRDefault="00BB1599" w:rsidP="00BB1599">
      <w:pPr>
        <w:pStyle w:val="11"/>
        <w:numPr>
          <w:ilvl w:val="0"/>
          <w:numId w:val="1"/>
        </w:numPr>
        <w:tabs>
          <w:tab w:val="left" w:pos="1341"/>
        </w:tabs>
        <w:spacing w:before="0"/>
        <w:rPr>
          <w:i/>
        </w:rPr>
      </w:pPr>
      <w:r>
        <w:rPr>
          <w:i/>
        </w:rPr>
        <w:lastRenderedPageBreak/>
        <w:t>Паспорт программы энергосбережения и повышения энергетической эффективности.</w:t>
      </w:r>
    </w:p>
    <w:p w:rsidR="00BB1599" w:rsidRDefault="00BB1599" w:rsidP="00BB1599">
      <w:pPr>
        <w:pStyle w:val="a7"/>
        <w:spacing w:after="0" w:line="240" w:lineRule="auto"/>
        <w:ind w:left="399" w:right="863" w:firstLine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br/>
        <w:t>ПРОГРАММЫ ЭНЕРГОСБЕРЕЖЕНИЯ И ПОВЫШЕНИЯ ЭНЕРГЕТИЧЕСКОЙ ЭФФЕКТИВНОСТИ</w:t>
      </w:r>
    </w:p>
    <w:p w:rsidR="00BB1599" w:rsidRDefault="00BB1599" w:rsidP="00BB1599">
      <w:pPr>
        <w:pStyle w:val="a7"/>
        <w:spacing w:after="0" w:line="240" w:lineRule="auto"/>
        <w:ind w:left="399" w:right="863" w:firstLine="2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Кульгешского сельского поселения Урмарского района Чувашской Республики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7514"/>
      </w:tblGrid>
      <w:tr w:rsidR="00BB1599" w:rsidTr="008430C0">
        <w:trPr>
          <w:trHeight w:val="8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BB1599" w:rsidTr="008430C0">
        <w:trPr>
          <w:trHeight w:val="25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23.11.2009 года № 261-ФЗ «Об энергосбережении и повышении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(ред. от 03.07.2016).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№33449).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31.12.2009 г. № 1225 «О требованиях к региональным и муниципальным программам энергосбережения и повышения энергетической эффективности».</w:t>
            </w:r>
          </w:p>
        </w:tc>
      </w:tr>
      <w:tr w:rsidR="00BB1599" w:rsidTr="008430C0">
        <w:trPr>
          <w:trHeight w:val="2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BB1599" w:rsidTr="008430C0">
        <w:trPr>
          <w:trHeight w:val="41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Кульгешского сельского поселения Урмарского района Чувашской Республики; 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 w:rsidR="00BB1599" w:rsidTr="008430C0">
        <w:trPr>
          <w:trHeight w:val="42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эффективности использования топливно-энергетических ресурсов и воды</w:t>
            </w:r>
          </w:p>
        </w:tc>
      </w:tr>
      <w:tr w:rsidR="00BB1599" w:rsidTr="008430C0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внедрение новых энергосберегающих технологий, оборудования в Учреждении; 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сокращение расходов на энергообеспечение; 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объёмов потребляемых энергетических ресурсов; 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рационального использования ТЭР за счёт внедрения энергосберегающих мероприятий.</w:t>
            </w:r>
          </w:p>
        </w:tc>
      </w:tr>
      <w:tr w:rsidR="00BB1599" w:rsidTr="008430C0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Целевые показатели, характеризующие удельные расходы энергетических ресурсов.</w:t>
            </w:r>
          </w:p>
        </w:tc>
      </w:tr>
      <w:tr w:rsidR="00BB1599" w:rsidTr="008430C0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 гг.</w:t>
            </w:r>
          </w:p>
        </w:tc>
      </w:tr>
      <w:tr w:rsidR="00BB1599" w:rsidTr="008430C0">
        <w:trPr>
          <w:trHeight w:val="170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на реализацию мероприятий программы необходимо 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предусмотреть на период 2021 – 2023 годы 11 тыс. руб.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599" w:rsidRDefault="00BB1599" w:rsidP="008430C0">
            <w:pPr>
              <w:spacing w:line="276" w:lineRule="auto"/>
              <w:ind w:firstLine="256"/>
            </w:pPr>
            <w:r>
              <w:t>Источники финансирования: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бюджетные средства: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3 тыс. руб.,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3 тыс. руб.,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5 тыс. руб.</w:t>
            </w:r>
          </w:p>
        </w:tc>
      </w:tr>
      <w:tr w:rsidR="00BB1599" w:rsidTr="008430C0">
        <w:trPr>
          <w:trHeight w:val="70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в период 2021 – 2023 годы возможно обеспечить:</w:t>
            </w:r>
          </w:p>
          <w:p w:rsidR="00BB1599" w:rsidRDefault="00BB1599" w:rsidP="008430C0">
            <w:pPr>
              <w:spacing w:line="276" w:lineRule="auto"/>
              <w:ind w:firstLine="256"/>
            </w:pPr>
            <w:r>
              <w:t>- Экономию электрической энергии</w:t>
            </w:r>
          </w:p>
          <w:p w:rsidR="00BB1599" w:rsidRDefault="00BB1599" w:rsidP="008430C0">
            <w:pPr>
              <w:pStyle w:val="a7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натуральном выражении                        0,42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Вт*ч</w:t>
            </w:r>
          </w:p>
        </w:tc>
      </w:tr>
    </w:tbl>
    <w:p w:rsidR="00BB1599" w:rsidRDefault="00BB1599" w:rsidP="00BB1599">
      <w:pPr>
        <w:suppressAutoHyphens w:val="0"/>
        <w:jc w:val="left"/>
        <w:rPr>
          <w:rFonts w:eastAsia="Calibri"/>
          <w:lang w:eastAsia="en-US"/>
        </w:rPr>
        <w:sectPr w:rsidR="00BB1599">
          <w:pgSz w:w="11920" w:h="16860"/>
          <w:pgMar w:top="640" w:right="0" w:bottom="1120" w:left="1300" w:header="0" w:footer="927" w:gutter="0"/>
          <w:cols w:space="720"/>
        </w:sectPr>
      </w:pPr>
    </w:p>
    <w:p w:rsidR="00BB1599" w:rsidRDefault="00BB1599" w:rsidP="00BB1599">
      <w:pPr>
        <w:pStyle w:val="11"/>
        <w:tabs>
          <w:tab w:val="left" w:pos="1341"/>
        </w:tabs>
        <w:spacing w:before="0"/>
        <w:ind w:left="0"/>
        <w:jc w:val="center"/>
        <w:rPr>
          <w:i/>
        </w:rPr>
      </w:pPr>
      <w:bookmarkStart w:id="0" w:name="2_Основания_для_разработки_настоящей_Про"/>
      <w:bookmarkStart w:id="1" w:name="_bookmark1"/>
      <w:bookmarkEnd w:id="0"/>
      <w:bookmarkEnd w:id="1"/>
      <w:r>
        <w:rPr>
          <w:spacing w:val="8"/>
        </w:rPr>
        <w:lastRenderedPageBreak/>
        <w:t>2</w:t>
      </w:r>
      <w:r>
        <w:rPr>
          <w:i/>
          <w:spacing w:val="8"/>
        </w:rPr>
        <w:t xml:space="preserve">. Основания </w:t>
      </w:r>
      <w:r>
        <w:rPr>
          <w:i/>
          <w:spacing w:val="5"/>
        </w:rPr>
        <w:t xml:space="preserve">для </w:t>
      </w:r>
      <w:r>
        <w:rPr>
          <w:i/>
          <w:spacing w:val="9"/>
        </w:rPr>
        <w:t xml:space="preserve">разработки настоящей </w:t>
      </w:r>
      <w:r>
        <w:rPr>
          <w:i/>
          <w:spacing w:val="8"/>
        </w:rPr>
        <w:t xml:space="preserve">Программы </w:t>
      </w:r>
      <w:r>
        <w:rPr>
          <w:i/>
          <w:spacing w:val="9"/>
        </w:rPr>
        <w:t xml:space="preserve">энергосбережения </w:t>
      </w:r>
      <w:r>
        <w:rPr>
          <w:i/>
        </w:rPr>
        <w:t>и область ее</w:t>
      </w:r>
      <w:r>
        <w:rPr>
          <w:i/>
          <w:spacing w:val="2"/>
        </w:rPr>
        <w:t xml:space="preserve"> </w:t>
      </w:r>
      <w:r>
        <w:rPr>
          <w:i/>
        </w:rPr>
        <w:t>распространения.</w:t>
      </w:r>
    </w:p>
    <w:p w:rsidR="00BB1599" w:rsidRDefault="00BB1599" w:rsidP="00BB1599">
      <w:pPr>
        <w:pStyle w:val="a7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разработки программы энергосбережения учреждения определена Федеральным законом РФ от 23.11.2009 г. №261 «Об энергосбережении и о повышении энергетической эффективности, и о внесении изменений в отдельные законодательные акты РФ» с учетом требований нормативных документов, устанавливающих форму и содержание программ энергосбережения бюджетных организаций с участием государства и муниципального образования. Далее перечень основных нормативных документов в области энергосбережения и повышения энергетической эффективности:</w:t>
      </w:r>
    </w:p>
    <w:p w:rsidR="00BB1599" w:rsidRDefault="00BB1599" w:rsidP="00BB1599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rPr>
          <w:iCs/>
        </w:rPr>
      </w:pPr>
      <w:r>
        <w:rPr>
          <w:color w:val="000000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>
        <w:rPr>
          <w:iCs/>
        </w:rPr>
        <w:t>, осуществляющих регулируемые виды деятельности, и отчетности о ходе их реализации»;</w:t>
      </w:r>
    </w:p>
    <w:p w:rsidR="00BB1599" w:rsidRDefault="00BB1599" w:rsidP="00BB1599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rPr>
          <w:iCs/>
        </w:rPr>
      </w:pPr>
      <w:r>
        <w:rPr>
          <w:iCs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BB1599" w:rsidRDefault="00BB1599" w:rsidP="00BB1599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rPr>
          <w:iCs/>
        </w:rPr>
      </w:pPr>
      <w: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BB1599" w:rsidRDefault="00BB1599" w:rsidP="00BB1599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rPr>
          <w:iCs/>
        </w:rPr>
      </w:pPr>
      <w:r>
        <w:rPr>
          <w:iCs/>
        </w:rPr>
        <w:t xml:space="preserve">Приказ Министерства энергетики РФ от 30 июня 2014 г. № 399 </w:t>
      </w:r>
      <w:r>
        <w:rPr>
          <w:color w:val="000000"/>
        </w:rPr>
        <w:t>«</w:t>
      </w:r>
      <w:r>
        <w:rPr>
          <w:iCs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BB1599" w:rsidRDefault="00BB1599" w:rsidP="00BB1599">
      <w:pPr>
        <w:pStyle w:val="ae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разработана в соответствии с требованиями и рекомендациями следующих документов: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rPr>
          <w:color w:val="000000"/>
        </w:rPr>
      </w:pPr>
      <w:r>
        <w:rPr>
          <w:iCs/>
        </w:rPr>
        <w:t>Постановление Правительства РФ от 31.12.2009г. № 1221 «Об утверждении правил установления требований энергетической эффективности товаров</w:t>
      </w:r>
      <w:r>
        <w:rPr>
          <w:color w:val="000000"/>
        </w:rPr>
        <w:t>, услуг, работ, размещения заказов для муниципальных нужд»;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rPr>
          <w:color w:val="000000"/>
        </w:rPr>
      </w:pPr>
      <w:r>
        <w:rPr>
          <w:color w:val="000000"/>
        </w:rPr>
        <w:t xml:space="preserve">Распоряжение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</w:rPr>
          <w:t>2009 г</w:t>
        </w:r>
      </w:smartTag>
      <w:r>
        <w:rPr>
          <w:color w:val="000000"/>
        </w:rPr>
        <w:t>. № 1830-р «Об утверждении плана мероприятий по энергосбережению и повышению энергетической эффективности в Российской Федерации»;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rPr>
          <w:color w:val="000000"/>
        </w:rPr>
      </w:pPr>
      <w:r>
        <w:rPr>
          <w:color w:val="000000"/>
        </w:rPr>
        <w:t>Постановление Правительства Российской Федерации от 15 апреля 2014 г. № 321 «Об утверждении государственной программы Российской Федерации «</w:t>
      </w:r>
      <w:proofErr w:type="spellStart"/>
      <w:r>
        <w:rPr>
          <w:color w:val="000000"/>
        </w:rPr>
        <w:t>Энергоэффективность</w:t>
      </w:r>
      <w:proofErr w:type="spellEnd"/>
      <w:r>
        <w:rPr>
          <w:color w:val="000000"/>
        </w:rPr>
        <w:t xml:space="preserve"> и развитие энергетики»;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rPr>
          <w:color w:val="000000"/>
        </w:rPr>
      </w:pPr>
      <w:r>
        <w:rPr>
          <w:color w:val="000000"/>
        </w:rPr>
        <w:t>Приказ Министерства экономического развития Российской Федерации от 17.02.2010г.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rPr>
          <w:color w:val="000000"/>
        </w:rPr>
      </w:pPr>
      <w:r>
        <w:rPr>
          <w:color w:val="000000"/>
        </w:rPr>
        <w:t>Распоряжения Правительства Российской Федерации от 13.11.2009г. № 1715</w:t>
      </w:r>
      <w:r>
        <w:rPr>
          <w:color w:val="000000"/>
        </w:rPr>
        <w:noBreakHyphen/>
        <w:t>р «Об Энергетической стратегии России на период до 2030 года»;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rPr>
          <w:color w:val="000000"/>
        </w:rPr>
      </w:pPr>
      <w:r>
        <w:rPr>
          <w:color w:val="000000"/>
        </w:rPr>
        <w:t>Распоряжение Правительства Российской Федерации от 17.11.2008г. года № 1662</w:t>
      </w:r>
      <w:r>
        <w:rPr>
          <w:color w:val="000000"/>
        </w:rPr>
        <w:noBreakHyphen/>
        <w:t>р «Об утверждении Концепции долгосрочного социально-экономического развития Российской Федерации на период до 2020 года»;</w:t>
      </w:r>
    </w:p>
    <w:p w:rsidR="00BB1599" w:rsidRDefault="00BB1599" w:rsidP="00BB1599">
      <w:pPr>
        <w:numPr>
          <w:ilvl w:val="0"/>
          <w:numId w:val="3"/>
        </w:numPr>
        <w:tabs>
          <w:tab w:val="left" w:pos="0"/>
        </w:tabs>
        <w:suppressAutoHyphens w:val="0"/>
        <w:ind w:left="0" w:right="-1" w:firstLine="709"/>
      </w:pPr>
      <w:r>
        <w:rPr>
          <w:color w:val="000000"/>
        </w:rPr>
        <w:t>Приказ Министерства экономического развития РФ от 24 октября 2011 г. № 591 «О порядке определения объемов снижения потребляемых государственным (муниципальным) учреждением ресурсов в сопоставимых условиях».</w:t>
      </w:r>
    </w:p>
    <w:p w:rsidR="00BB1599" w:rsidRDefault="00BB1599" w:rsidP="00BB1599">
      <w:pPr>
        <w:tabs>
          <w:tab w:val="left" w:pos="0"/>
        </w:tabs>
        <w:suppressAutoHyphens w:val="0"/>
        <w:ind w:left="709" w:right="-1"/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13"/>
        </w:tabs>
        <w:spacing w:before="0"/>
        <w:ind w:left="357" w:hanging="357"/>
        <w:jc w:val="center"/>
        <w:rPr>
          <w:i/>
        </w:rPr>
      </w:pPr>
      <w:bookmarkStart w:id="2" w:name="3_Термины_и_определения,_сокращения,_усл"/>
      <w:bookmarkStart w:id="3" w:name="_bookmark2"/>
      <w:bookmarkStart w:id="4" w:name="4_Введение"/>
      <w:bookmarkStart w:id="5" w:name="_bookmark3"/>
      <w:bookmarkEnd w:id="2"/>
      <w:bookmarkEnd w:id="3"/>
      <w:bookmarkEnd w:id="4"/>
      <w:bookmarkEnd w:id="5"/>
      <w:r>
        <w:rPr>
          <w:i/>
          <w:spacing w:val="8"/>
        </w:rPr>
        <w:lastRenderedPageBreak/>
        <w:t>Введение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6" w:name="4.1_Статус_Программы_энергосбережения_и_"/>
      <w:bookmarkStart w:id="7" w:name="_bookmark4"/>
      <w:bookmarkEnd w:id="6"/>
      <w:bookmarkEnd w:id="7"/>
      <w:r>
        <w:rPr>
          <w:rFonts w:ascii="Times New Roman" w:hAnsi="Times New Roman"/>
          <w:sz w:val="24"/>
          <w:szCs w:val="24"/>
        </w:rPr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(топливно-энергетические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 w:rsidR="00BB1599" w:rsidRDefault="00BB1599" w:rsidP="00BB1599">
      <w:pPr>
        <w:pStyle w:val="a7"/>
        <w:spacing w:after="0" w:line="240" w:lineRule="auto"/>
        <w:ind w:right="-1" w:firstLine="993"/>
        <w:jc w:val="both"/>
        <w:rPr>
          <w:rFonts w:ascii="Times New Roman" w:hAnsi="Times New Roman"/>
          <w:bCs/>
          <w:sz w:val="24"/>
          <w:szCs w:val="24"/>
        </w:r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13"/>
        </w:tabs>
        <w:spacing w:before="0"/>
        <w:ind w:left="204" w:hanging="204"/>
        <w:jc w:val="center"/>
        <w:rPr>
          <w:i/>
        </w:rPr>
      </w:pPr>
      <w:r>
        <w:rPr>
          <w:i/>
        </w:rPr>
        <w:t>Основные сведения учреждения и его деятельность</w:t>
      </w:r>
    </w:p>
    <w:tbl>
      <w:tblPr>
        <w:tblW w:w="98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0"/>
        <w:gridCol w:w="4767"/>
      </w:tblGrid>
      <w:tr w:rsidR="00BB1599" w:rsidTr="008430C0">
        <w:trPr>
          <w:trHeight w:val="25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hd w:val="clear" w:color="auto" w:fill="F9F9F9"/>
              <w:textAlignment w:val="baseline"/>
            </w:pPr>
            <w:r>
              <w:t>429414, Чувашская Республика - Чувашия, Урмарский район, деревня Кульгеши, Школьная улица, 2</w:t>
            </w:r>
          </w:p>
        </w:tc>
      </w:tr>
      <w:tr w:rsidR="00BB1599" w:rsidTr="008430C0">
        <w:trPr>
          <w:trHeight w:val="25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r>
              <w:t>Фактический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r>
              <w:t>429414, Чувашская Республика - Чувашия, Урмарский район, деревня Кульгеши, Школьная улица, 2</w:t>
            </w:r>
          </w:p>
        </w:tc>
      </w:tr>
      <w:tr w:rsidR="00BB1599" w:rsidTr="008430C0">
        <w:trPr>
          <w:trHeight w:val="46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r>
              <w:t>ИНН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r>
              <w:t>2114902694</w:t>
            </w:r>
          </w:p>
        </w:tc>
      </w:tr>
    </w:tbl>
    <w:p w:rsidR="00BB1599" w:rsidRDefault="00BB1599" w:rsidP="00BB1599">
      <w:pPr>
        <w:pStyle w:val="a7"/>
        <w:spacing w:after="0" w:line="240" w:lineRule="auto"/>
        <w:ind w:right="-1" w:firstLine="993"/>
        <w:jc w:val="both"/>
        <w:rPr>
          <w:rFonts w:ascii="Times New Roman" w:hAnsi="Times New Roman"/>
          <w:bCs/>
          <w:sz w:val="24"/>
          <w:szCs w:val="24"/>
        </w:rPr>
      </w:pP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Кульгешского сельского поселения - орган местного самоуправления, осуществляющий исполнительно - 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работы администрации поселения определяется  настоящим Положением и Уставом Кульгешского сельского поселения.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jc w:val="center"/>
        <w:rPr>
          <w:i/>
        </w:rPr>
      </w:pPr>
      <w:bookmarkStart w:id="8" w:name="5_Анализ_существующего_положения_Учрежде"/>
      <w:bookmarkStart w:id="9" w:name="_bookmark7"/>
      <w:bookmarkEnd w:id="8"/>
      <w:bookmarkEnd w:id="9"/>
      <w:r>
        <w:rPr>
          <w:i/>
          <w:spacing w:val="2"/>
        </w:rPr>
        <w:t xml:space="preserve">Анализ существующего положения Учреждения </w:t>
      </w:r>
      <w:r>
        <w:rPr>
          <w:i/>
        </w:rPr>
        <w:t xml:space="preserve">в области </w:t>
      </w:r>
      <w:r>
        <w:rPr>
          <w:i/>
          <w:spacing w:val="2"/>
        </w:rPr>
        <w:t xml:space="preserve">энергосбережения </w:t>
      </w:r>
      <w:r>
        <w:rPr>
          <w:i/>
        </w:rPr>
        <w:t xml:space="preserve">и </w:t>
      </w:r>
      <w:r>
        <w:rPr>
          <w:i/>
          <w:spacing w:val="-5"/>
        </w:rPr>
        <w:t>повышения</w:t>
      </w:r>
      <w:r>
        <w:rPr>
          <w:i/>
          <w:spacing w:val="-11"/>
        </w:rPr>
        <w:t xml:space="preserve"> </w:t>
      </w:r>
      <w:proofErr w:type="spellStart"/>
      <w:r>
        <w:rPr>
          <w:i/>
          <w:spacing w:val="-4"/>
        </w:rPr>
        <w:t>энергоэффективности</w:t>
      </w:r>
      <w:proofErr w:type="spellEnd"/>
    </w:p>
    <w:p w:rsidR="00BB1599" w:rsidRDefault="00BB1599" w:rsidP="00BB1599">
      <w:pPr>
        <w:pStyle w:val="ab"/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after="0" w:line="240" w:lineRule="auto"/>
        <w:ind w:left="1475" w:hanging="36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5.1_Описание_и_анализ_структуры_объектов"/>
      <w:bookmarkStart w:id="11" w:name="_bookmark8"/>
      <w:bookmarkEnd w:id="10"/>
      <w:bookmarkEnd w:id="11"/>
      <w:r>
        <w:rPr>
          <w:rFonts w:ascii="Times New Roman" w:hAnsi="Times New Roman" w:cs="Times New Roman"/>
          <w:i/>
          <w:sz w:val="24"/>
          <w:szCs w:val="24"/>
        </w:rPr>
        <w:t>Описание объектов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Учреждения</w:t>
      </w:r>
    </w:p>
    <w:tbl>
      <w:tblPr>
        <w:tblW w:w="9570" w:type="dxa"/>
        <w:jc w:val="center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09"/>
        <w:gridCol w:w="635"/>
        <w:gridCol w:w="1004"/>
        <w:gridCol w:w="914"/>
        <w:gridCol w:w="1286"/>
        <w:gridCol w:w="1035"/>
        <w:gridCol w:w="1791"/>
        <w:gridCol w:w="1062"/>
      </w:tblGrid>
      <w:tr w:rsidR="00BB1599" w:rsidTr="008430C0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№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Наименование и адрес</w:t>
            </w:r>
          </w:p>
          <w:p w:rsidR="00BB1599" w:rsidRDefault="00BB1599" w:rsidP="008430C0">
            <w:pPr>
              <w:jc w:val="center"/>
            </w:pPr>
            <w:r>
              <w:t>объекта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Этаж</w:t>
            </w:r>
          </w:p>
          <w:p w:rsidR="00BB1599" w:rsidRDefault="00BB1599" w:rsidP="008430C0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Год постройки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  <w:rPr>
                <w:vertAlign w:val="superscript"/>
              </w:rPr>
            </w:pPr>
            <w:r>
              <w:t>Общая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Отапливаемая площадь здания,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  <w:rPr>
                <w:b/>
              </w:rPr>
            </w:pPr>
            <w:r>
              <w:t>Ограждающие конструкции</w:t>
            </w:r>
          </w:p>
        </w:tc>
      </w:tr>
      <w:tr w:rsidR="00BB1599" w:rsidTr="008430C0">
        <w:trPr>
          <w:trHeight w:val="1226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vertAlign w:val="superscript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  <w:rPr>
                <w:b/>
              </w:rPr>
            </w:pPr>
            <w:r>
              <w:t>Стены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  <w:rPr>
                <w:b/>
              </w:rPr>
            </w:pPr>
            <w:r>
              <w:t>Окна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  <w:rPr>
                <w:b/>
              </w:rPr>
            </w:pPr>
            <w:r>
              <w:t>Крыша</w:t>
            </w:r>
          </w:p>
        </w:tc>
      </w:tr>
      <w:tr w:rsidR="00BB1599" w:rsidTr="008430C0">
        <w:trPr>
          <w:trHeight w:val="159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ind w:right="-76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здание  администрации д. Кульгеши, ул. </w:t>
            </w:r>
            <w:proofErr w:type="gramStart"/>
            <w:r>
              <w:rPr>
                <w:bCs/>
              </w:rPr>
              <w:t>Школьная</w:t>
            </w:r>
            <w:proofErr w:type="gramEnd"/>
            <w:r>
              <w:rPr>
                <w:bCs/>
              </w:rPr>
              <w:t>, д. 2*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1972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599" w:rsidRDefault="00BB1599" w:rsidP="008430C0">
            <w:pPr>
              <w:jc w:val="center"/>
              <w:rPr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ind w:left="-131" w:right="-153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скатная</w:t>
            </w:r>
          </w:p>
        </w:tc>
      </w:tr>
      <w:tr w:rsidR="00BB1599" w:rsidTr="008430C0">
        <w:trPr>
          <w:trHeight w:val="183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Здание сельского клуба, д. Кульгеши, ул. </w:t>
            </w:r>
            <w:proofErr w:type="gramStart"/>
            <w:r>
              <w:rPr>
                <w:bCs/>
              </w:rPr>
              <w:t>Школьная</w:t>
            </w:r>
            <w:proofErr w:type="gramEnd"/>
            <w:r>
              <w:rPr>
                <w:bCs/>
              </w:rPr>
              <w:t>, д. 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1953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599" w:rsidRDefault="00BB1599" w:rsidP="008430C0">
            <w:pPr>
              <w:jc w:val="center"/>
              <w:rPr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ind w:left="-56" w:right="-6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скатная </w:t>
            </w:r>
          </w:p>
        </w:tc>
      </w:tr>
      <w:tr w:rsidR="00BB1599" w:rsidTr="008430C0">
        <w:trPr>
          <w:trHeight w:val="169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lastRenderedPageBreak/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Здание библиотеки д. Кульгеши, ул. </w:t>
            </w:r>
            <w:proofErr w:type="gramStart"/>
            <w:r>
              <w:rPr>
                <w:bCs/>
              </w:rPr>
              <w:t>Школьная</w:t>
            </w:r>
            <w:proofErr w:type="gramEnd"/>
            <w:r>
              <w:rPr>
                <w:bCs/>
              </w:rPr>
              <w:t>, д. 4*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1972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89,80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89,8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599" w:rsidRDefault="00BB1599" w:rsidP="008430C0">
            <w:pPr>
              <w:jc w:val="center"/>
              <w:rPr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ind w:left="-56" w:right="-6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скатная</w:t>
            </w:r>
          </w:p>
        </w:tc>
      </w:tr>
      <w:tr w:rsidR="00BB1599" w:rsidTr="008430C0">
        <w:trPr>
          <w:trHeight w:val="16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Здание </w:t>
            </w:r>
            <w:proofErr w:type="spellStart"/>
            <w:r>
              <w:rPr>
                <w:bCs/>
              </w:rPr>
              <w:t>Тансаринского</w:t>
            </w:r>
            <w:proofErr w:type="spellEnd"/>
            <w:r>
              <w:rPr>
                <w:bCs/>
              </w:rPr>
              <w:t xml:space="preserve"> сельского клуба*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99" w:rsidRDefault="00BB1599" w:rsidP="008430C0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107,8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>107,8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599" w:rsidRDefault="00BB1599" w:rsidP="008430C0">
            <w:pPr>
              <w:jc w:val="center"/>
              <w:rPr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ind w:left="-56" w:right="-69"/>
              <w:contextualSpacing/>
              <w:jc w:val="center"/>
              <w:rPr>
                <w:bCs/>
              </w:rPr>
            </w:pPr>
            <w:r>
              <w:rPr>
                <w:bCs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599" w:rsidRDefault="00BB1599" w:rsidP="008430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Скатная </w:t>
            </w:r>
          </w:p>
        </w:tc>
      </w:tr>
    </w:tbl>
    <w:p w:rsidR="00BB1599" w:rsidRDefault="00BB1599" w:rsidP="00BB1599">
      <w:pPr>
        <w:tabs>
          <w:tab w:val="left" w:pos="1476"/>
        </w:tabs>
      </w:pPr>
      <w:bookmarkStart w:id="12" w:name="Таблица_1._Описание_и_анализ_структуры_о"/>
      <w:bookmarkEnd w:id="12"/>
      <w:r>
        <w:t xml:space="preserve">* Согласно Постановление Правительства Российской Федерации от 07.10.2019 № 1289 ЦУС не устанавливается </w:t>
      </w:r>
    </w:p>
    <w:p w:rsidR="00BB1599" w:rsidRDefault="00BB1599" w:rsidP="00BB1599">
      <w:pPr>
        <w:pStyle w:val="ab"/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after="0" w:line="240" w:lineRule="auto"/>
        <w:ind w:left="1475" w:hanging="3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Фактическое потребление энергетических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ресурсов</w:t>
      </w:r>
    </w:p>
    <w:tbl>
      <w:tblPr>
        <w:tblW w:w="8190" w:type="dxa"/>
        <w:jc w:val="center"/>
        <w:tblLayout w:type="fixed"/>
        <w:tblLook w:val="04A0"/>
      </w:tblPr>
      <w:tblGrid>
        <w:gridCol w:w="3228"/>
        <w:gridCol w:w="1984"/>
        <w:gridCol w:w="2978"/>
      </w:tblGrid>
      <w:tr w:rsidR="00BB1599" w:rsidTr="008430C0">
        <w:trPr>
          <w:cantSplit/>
          <w:tblHeader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ind w:firstLine="142"/>
              <w:jc w:val="center"/>
            </w:pPr>
            <w:r>
              <w:t>Наименование энергоносителя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2019</w:t>
            </w:r>
          </w:p>
        </w:tc>
      </w:tr>
      <w:tr w:rsidR="00BB1599" w:rsidTr="008430C0">
        <w:trPr>
          <w:cantSplit/>
          <w:trHeight w:val="407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Электрическая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тыс. кВт*</w:t>
            </w:r>
            <w:proofErr w:type="gramStart"/>
            <w:r>
              <w:t>ч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6,920</w:t>
            </w:r>
          </w:p>
        </w:tc>
      </w:tr>
      <w:tr w:rsidR="00BB1599" w:rsidTr="008430C0">
        <w:trPr>
          <w:cantSplit/>
          <w:trHeight w:val="407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599" w:rsidRDefault="00BB1599" w:rsidP="008430C0">
            <w:pPr>
              <w:jc w:val="center"/>
            </w:pPr>
            <w:r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599" w:rsidRDefault="00BB1599" w:rsidP="008430C0">
            <w:pPr>
              <w:jc w:val="center"/>
            </w:pPr>
          </w:p>
        </w:tc>
      </w:tr>
    </w:tbl>
    <w:p w:rsidR="00BB1599" w:rsidRDefault="00BB1599" w:rsidP="00BB1599">
      <w:pPr>
        <w:pStyle w:val="ab"/>
        <w:widowControl w:val="0"/>
        <w:numPr>
          <w:ilvl w:val="1"/>
          <w:numId w:val="4"/>
        </w:numPr>
        <w:tabs>
          <w:tab w:val="left" w:pos="1475"/>
        </w:tabs>
        <w:autoSpaceDE w:val="0"/>
        <w:autoSpaceDN w:val="0"/>
        <w:spacing w:after="0" w:line="240" w:lineRule="auto"/>
        <w:ind w:left="1474" w:hanging="36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5.3_Анализ_оснащенности_приборами_учета"/>
      <w:bookmarkStart w:id="14" w:name="_bookmark10"/>
      <w:bookmarkEnd w:id="13"/>
      <w:bookmarkEnd w:id="14"/>
      <w:r>
        <w:rPr>
          <w:rFonts w:ascii="Times New Roman" w:hAnsi="Times New Roman" w:cs="Times New Roman"/>
          <w:i/>
          <w:sz w:val="24"/>
          <w:szCs w:val="24"/>
        </w:rPr>
        <w:t>Оснащенность приборами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учета</w:t>
      </w:r>
    </w:p>
    <w:p w:rsidR="00BB1599" w:rsidRDefault="00BB1599" w:rsidP="00BB1599">
      <w:pPr>
        <w:pStyle w:val="a7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момент разработки программы все имеющиеся приборы учета исправны и проверены. </w:t>
      </w:r>
    </w:p>
    <w:p w:rsidR="00BB1599" w:rsidRDefault="00BB1599" w:rsidP="00BB1599">
      <w:pPr>
        <w:pStyle w:val="a7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</w:r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ind w:left="0" w:right="889" w:firstLine="567"/>
        <w:jc w:val="center"/>
        <w:rPr>
          <w:i/>
        </w:rPr>
      </w:pPr>
      <w:bookmarkStart w:id="15" w:name="5.4_Анализ_фактических_показателей_энерг"/>
      <w:bookmarkStart w:id="16" w:name="5.5_Анализ_проведенных_энергетических_об"/>
      <w:bookmarkStart w:id="17" w:name="5.6_Анализ_осуществленных_мероприятий_по"/>
      <w:bookmarkStart w:id="18" w:name="5.7_Оценка_потенциала_энергосбережения"/>
      <w:bookmarkStart w:id="19" w:name="5.8_Рекомендации_по_системе_информационн"/>
      <w:bookmarkStart w:id="20" w:name="_bookmark11"/>
      <w:bookmarkStart w:id="21" w:name="_bookmark12"/>
      <w:bookmarkStart w:id="22" w:name="_bookmark13"/>
      <w:bookmarkStart w:id="23" w:name="_bookmark14"/>
      <w:bookmarkStart w:id="24" w:name="_bookmark15"/>
      <w:bookmarkStart w:id="25" w:name="_Toc5067375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i/>
        </w:rPr>
        <w:t>Цели, задачи и срок реализации программы</w:t>
      </w:r>
      <w:bookmarkEnd w:id="25"/>
    </w:p>
    <w:p w:rsidR="00BB1599" w:rsidRDefault="00BB1599" w:rsidP="00BB1599">
      <w:pPr>
        <w:pStyle w:val="ae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Основными целями программы являются: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эффективности потребления энергетических ресурсов в учреждении,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топливно-энергетических ресурсов и воды;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эффективности использования топливно-энергетических ресурсов за счет реализации оптимальных, апробированных и рекомендованных к использованию энергосберегающих технологий, отвечающих актуальным и перспективным потребностям и снижение энергоемкости.</w:t>
      </w:r>
    </w:p>
    <w:p w:rsidR="00BB1599" w:rsidRDefault="00BB1599" w:rsidP="00BB1599">
      <w:pPr>
        <w:pStyle w:val="ae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необходимо выполнение следующих задач: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Первоочередное внедрение мероприятий по энергосбережению с минимальным и средним сроком окупаемости;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 </w:t>
      </w:r>
      <w:proofErr w:type="spellStart"/>
      <w:r>
        <w:rPr>
          <w:color w:val="000000"/>
          <w:sz w:val="24"/>
          <w:szCs w:val="24"/>
        </w:rPr>
        <w:t>энергосервисных</w:t>
      </w:r>
      <w:proofErr w:type="spellEnd"/>
      <w:r>
        <w:rPr>
          <w:color w:val="000000"/>
          <w:sz w:val="24"/>
          <w:szCs w:val="24"/>
        </w:rPr>
        <w:t xml:space="preserve"> контрактов на комплексную реализацию мероприятий по энергосбережению;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удельных величин потребления организацией  топливно-энергетических ресурсов при сохранении устойчивости функционирования учреждения и обеспечении соблюдения санитарно-гигиенических требований;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Сокращение потерь топливно-энергетических ресурсов;</w:t>
      </w:r>
    </w:p>
    <w:p w:rsidR="00BB1599" w:rsidRDefault="00BB1599" w:rsidP="00BB1599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общедоступных типовых  мероприятий, практическое внедрение которых приведет к повышению эффективности использования топливно-энергетических</w:t>
      </w:r>
      <w:r>
        <w:rPr>
          <w:rFonts w:eastAsia="Times New Roman"/>
          <w:color w:val="000000"/>
          <w:sz w:val="24"/>
          <w:szCs w:val="24"/>
        </w:rPr>
        <w:t xml:space="preserve"> ресурсов.</w:t>
      </w:r>
    </w:p>
    <w:p w:rsidR="00BB1599" w:rsidRDefault="00BB1599" w:rsidP="00BB1599">
      <w:pPr>
        <w:pStyle w:val="ae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Срок реализации Программы – 2021 - 2023 годы.</w:t>
      </w:r>
    </w:p>
    <w:p w:rsidR="00BB1599" w:rsidRDefault="00BB1599" w:rsidP="00BB1599">
      <w:pPr>
        <w:pStyle w:val="ae"/>
        <w:tabs>
          <w:tab w:val="left" w:pos="0"/>
        </w:tabs>
        <w:ind w:firstLine="709"/>
        <w:rPr>
          <w:sz w:val="24"/>
          <w:szCs w:val="24"/>
        </w:r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ind w:left="0" w:right="-1" w:firstLine="567"/>
        <w:jc w:val="center"/>
        <w:rPr>
          <w:i/>
        </w:rPr>
      </w:pPr>
      <w:r>
        <w:rPr>
          <w:i/>
        </w:rPr>
        <w:lastRenderedPageBreak/>
        <w:t>Рекомендации по системе информационного обеспечения в рамках Программы энергосбережения</w:t>
      </w:r>
      <w:r>
        <w:rPr>
          <w:i/>
          <w:spacing w:val="-1"/>
        </w:rPr>
        <w:t xml:space="preserve"> </w:t>
      </w:r>
      <w:r>
        <w:rPr>
          <w:i/>
        </w:rPr>
        <w:t>Учреждения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Системы информационного обеспечения Учреждения в рамках реализации настоящей Программы предусматривает: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состава заинтересованных в получении информации лиц;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состава и формы предоставления информации;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подготовку необходимой информации;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предоставление информации заинтересованным лицам.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реализации настоящей Программы и несущие ответственность за достижение целевых показателей.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распорядителю бюджетных средств,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 запланированных и фактически осуществленных расходах на деятельность в области энергосбережения;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об обязательствах, возникших в связи с осуществлением деятельности в области энергосбережения;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 контрагентах и исполнении государственных контрактов в области энергосбережения;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информации, предоставляемой в свободном доступе, включает в себя: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перечень нормативных документов, которыми руководствуется Учреждение в своей деятельности по энергосбережению и повышению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отчеты о выполнении запланированных в отношении подотчетных Учреждению объектов мероприятий в области энергосбережения и повышения энергетической эффективности, и фактически достигнутые величины экономии энергетических ресурсов, полученные от реализации указанных мероприятий.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системе мониторинга на территории Чувашской Республики в области энергосбережения и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Учреждение участвует в части: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подготовки и предоставления информации о фактическом достижении целевых показателей в области энергосбережения, за которые несет ответственность Учреждение; 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подготовки и предоставления информации о фактическом выполнении мероприятий в области энергосбережения, за которые несет ответственность Учреждение.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закона</w:t>
      </w:r>
      <w:proofErr w:type="gramEnd"/>
      <w:r>
        <w:rPr>
          <w:rFonts w:ascii="Times New Roman" w:hAnsi="Times New Roman"/>
          <w:sz w:val="24"/>
          <w:szCs w:val="24"/>
        </w:rPr>
        <w:t xml:space="preserve"> РФ № 261 – ФЗ от 23.11.2009г. информационное обеспечение мероприятий по энергосбережению и повышению энергетической эффективности должно осуществляться посредством: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ежеквартальной отчетности по программе энергосбережения;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информированности, применить информационные плакаты, таблички.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0"/>
        </w:tabs>
        <w:spacing w:before="0"/>
        <w:ind w:left="0" w:right="-1" w:firstLine="567"/>
        <w:jc w:val="center"/>
        <w:rPr>
          <w:i/>
        </w:rPr>
      </w:pPr>
      <w:bookmarkStart w:id="26" w:name="5.9_Рекомендации_по_системе_пропаганды_в"/>
      <w:bookmarkStart w:id="27" w:name="_bookmark16"/>
      <w:bookmarkEnd w:id="26"/>
      <w:bookmarkEnd w:id="27"/>
      <w:r>
        <w:rPr>
          <w:i/>
        </w:rPr>
        <w:t xml:space="preserve">Рекомендации по системе пропаганды в рамках реализации Программы энергосбережения и повышения </w:t>
      </w:r>
      <w:proofErr w:type="spellStart"/>
      <w:r>
        <w:rPr>
          <w:i/>
        </w:rPr>
        <w:t>энергоэффективности</w:t>
      </w:r>
      <w:proofErr w:type="spellEnd"/>
      <w:r>
        <w:rPr>
          <w:i/>
        </w:rPr>
        <w:t xml:space="preserve"> Учреждения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пропаганды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энергосбережения является побуждение субъектов к осуществлению действий, направленных на сбережение энергетических ресурсов и повышение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воздействия пропаганды в области энергосбережения являются целевые аудитории, формируемые путем классификации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индивидуумов-физических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лиц, исходя из общности наиболее эффективных способов информационного воздействия на них.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определения классификационной структуры целевых аудиторий </w:t>
      </w:r>
      <w:proofErr w:type="gramStart"/>
      <w:r>
        <w:rPr>
          <w:rFonts w:ascii="Times New Roman" w:hAnsi="Times New Roman"/>
          <w:sz w:val="24"/>
          <w:szCs w:val="24"/>
        </w:rPr>
        <w:t>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Мотивация лиц, входящих в целевые аудитории, может быть основана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рациональной оценке человеком своих собственных действий;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моральном и эмоциональном </w:t>
      </w:r>
      <w:proofErr w:type="gramStart"/>
      <w:r>
        <w:rPr>
          <w:rFonts w:ascii="Times New Roman" w:hAnsi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человека к своим действиям;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моральном и эмоциональном отношении человека к оценке своих действий другими людьми, как входящими в целевую группу, так и находящимися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ее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моральном и эмоциональном отношении человека к оценке своего бездействия другими людьми, как входящими в целевую группу, так и находящимися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очередь, в числе указанных выгод надо рассматривать экономию личных средств на оплату потребляемых энергетических ресурсов и услуг в этой области.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значимыми потребностями в системе жизненных ценностей (с точки зрения мотивации в области энергосбережения), являются: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получение социального признания;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желание сделать что-то хорошее;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стремление принадлежать к определенной социальной группе (быть похожим на людей определенной социальной группы).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основе, рассмотренной выше модели мотивации 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влияния на энергосбережение можно выделить два вида наиболее значимых целевых аудиторий: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целевые аудитории в производственной сфере;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целевые аудитории в сфере личного потребления энергоресурсов.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производственной сфере наиболее значимыми могут быть признаны следующие целевые аудитории: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руководители, влияющие на стратегию деятельности организации;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лица, влияющие на производственную деятельность организации (менеджеры среднего звена);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работники, непосредственно выполняющие процессы (работы), которые осуществляется с использованием энергетических ресурсов.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сфере личного потребления энергоресурсов наиболее значимыми могут являться следующие целевые аудитории: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члены семьи, осуществляющие оплату потребленных энергетических ресурсов;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пенсионеры, люди с ограниченными возможностями (социально значимые группы населения);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учащиеся начальных, средних и высших учебных заведений;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Рекомендуемая система пропаганды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энергосбережения опирается на общие положения, изложенные в настоящем разделе, и должна включать в себя: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идентификацию целевых аудиторий для пропаганды;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целей пропаганды выбранных целевых аудиторий;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способов воздействия на целевые аудитории;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коммуникативных целей способов воздействия;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действий по пропаганде; 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1599" w:rsidRDefault="00BB1599" w:rsidP="00BB1599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ind w:left="0" w:right="-1" w:firstLine="567"/>
        <w:jc w:val="center"/>
        <w:rPr>
          <w:i/>
        </w:rPr>
      </w:pPr>
      <w:bookmarkStart w:id="28" w:name="5.10_Механизм_привлечения_внебюджетных_и"/>
      <w:bookmarkStart w:id="29" w:name="_bookmark17"/>
      <w:bookmarkEnd w:id="28"/>
      <w:bookmarkEnd w:id="29"/>
      <w:r>
        <w:rPr>
          <w:i/>
        </w:rPr>
        <w:t>Механизм привлечения внебюджетных источников финансирования для целей энергосбережения и повышения энергетической</w:t>
      </w:r>
      <w:r>
        <w:rPr>
          <w:i/>
          <w:spacing w:val="1"/>
        </w:rPr>
        <w:t xml:space="preserve"> </w:t>
      </w:r>
      <w:r>
        <w:rPr>
          <w:i/>
        </w:rPr>
        <w:t>эффективности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компаний и заключения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контрактов. Заключение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контрактов является наиболее актуальным и перспективным на ближайшее время механизмом привлечения внебюджетных источников финансирования.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Энергосервисный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 представляет собой особую форму договора, направленного на экономию эксплуатационных расходов за счет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внедрения технологий, обеспечивающих энергосбережение. Отличительной особенностью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 является то, что затраты инвестора возмещаются за счет достигнутой экономии средств, получаемой в результате внедрения энергосберегающих технологий.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для организации, стремящейся к снижению затрат на энергоресурсы, не требуется на этапе первоначальных затрат отвлекать собственные средства или прибегать к кредитованию для реализации своих целей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Инвестиции, необходимые для осуществления такого проекта, как правило, привлекаются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компанией. Согласно Федеральному закону от 23.11.2009 г. № 261-ФЗ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 должен содержать: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 о величине экономии энергетических ресурсов, которая должна быть обеспечена исполнителем в результате выполнения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 о сроке действия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контракта, который не должен быть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срок, необходимый для достижения установленной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контрактом величины экономии энергетических ресурсов;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обязательные условия для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договоров, установленные законодательством РФ.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Механизмы реализации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работ по внедрению энергосберегающих мероприятий осуществляется благодаря инвестиционным ресурсам, предоставляемых или привлекаемых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компанией (далее –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 xml:space="preserve">). Оплата услуг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 xml:space="preserve"> по внедрению энергосберегающих мероприятий осуществляется потребителем ТЭР за счет средств, полученных в результате экономии ресурсов. Если же предложенная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схема энергосбережения не помогла изменить ситуацию в организации в лучшую сторону, то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 не должна получать оплаты за свои услуги.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числу возможных финансовых механизмов привлечения инвестиций для заключения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контрактов относятся: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собственные средства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компании;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кредиты, привлекаемые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компанией;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лизинг;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инвесторов – физических и юридических лиц.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плана мероприятий.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 является план мероприятий, намеченных к реализации. План мероприятий формируется на основе данных энергетического паспорта, подробного отчета о проведенном энергетическом обследовании, данных, имеющихся в </w:t>
      </w:r>
      <w:proofErr w:type="spellStart"/>
      <w:r>
        <w:rPr>
          <w:rFonts w:ascii="Times New Roman" w:hAnsi="Times New Roman"/>
          <w:sz w:val="24"/>
          <w:szCs w:val="24"/>
        </w:rPr>
        <w:t>энергодекларации</w:t>
      </w:r>
      <w:proofErr w:type="spellEnd"/>
      <w:r>
        <w:rPr>
          <w:rFonts w:ascii="Times New Roman" w:hAnsi="Times New Roman"/>
          <w:sz w:val="24"/>
          <w:szCs w:val="24"/>
        </w:rPr>
        <w:t>, а также сведений, содержащихся в Программе энергосбережения.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проведения энергетического обследования Учреждения организацией, не являющейся стороной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контракта, его подписанию, как правило, предшествует экспертиза представленной заказчиком-потребителем ТЭР (Учреждением) документации, проводимая за счет средств потенциального инвестор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участника ЭК.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Риски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контрактов.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Энергосервисный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  контракт   относится к классу долгосрочных контрактов, поэтому в его рамках должны быть: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установлены стороны, которые несут риски не внедрения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проекта, а также доля ответственности сторон по этим рискам;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решены вопросы перехода прав собственности на результаты внедрения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(после окончания всех выплат, предусмотренных по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контракту в результате внедрения энергосберегающих технологий);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оговорены пути разрешения проблем, связанных с досрочным прекращением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 на всех этапах;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определено право надзора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компании над осуществлением всех стадий реализации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основным рискам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 относятся: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предоставления заказчиком-потребителем ТЭР (Учреждением) недостоверной и/или не полной информации, как на этапе проведения </w:t>
      </w:r>
      <w:proofErr w:type="spellStart"/>
      <w:r>
        <w:rPr>
          <w:rFonts w:ascii="Times New Roman" w:hAnsi="Times New Roman"/>
          <w:sz w:val="24"/>
          <w:szCs w:val="24"/>
        </w:rPr>
        <w:t>энергоаудита</w:t>
      </w:r>
      <w:proofErr w:type="spellEnd"/>
      <w:r>
        <w:rPr>
          <w:rFonts w:ascii="Times New Roman" w:hAnsi="Times New Roman"/>
          <w:sz w:val="24"/>
          <w:szCs w:val="24"/>
        </w:rPr>
        <w:t xml:space="preserve">, так и на этапе эксплуатации внедряемого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риск некачественного и/или недобросовестного выполнения подрядных работ при реализации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неквалифицированной эксплуатации заказчиком-потребителем ТЭР (Учреждением) установленного энергосберегающего оборудования;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неплатежеспособности заказчика (Учреждения).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проблемы и сложности в реализации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контракта.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контрактов в России характеризуются: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отсутствием единого подхода к разработке и согласованию методик измерения и/или расчета энергосберегающего эффекта;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неоднозначностью при расчетах собственно энергосберегающего эффекта проекта и отделение рассчитываемого эффекта от влияния внешних факторов;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трудности, возникающие у заказчиков-потребителей ТЭР при заключении многолетних (долгосрочных) контрактов (в бюджетной сфере);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трудности, возникающие у инвесторов (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компаний) при получении доступа к источникам финансирования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 с минимальной кредитной процентной ставкой. При отсутствии значительного эффекта большая часть достигнутой экономии, получаемой 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компанией, будет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«уходить» на оплату процентов за выданные кредиты;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в РФ надежных финансовых и страховых продуктов, разработанных специально под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контракты;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у потенциальных инвесторов (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компаний) инженерно-технических компетенций для оценки рисков на стадии принятия решения о финансирования энергосберегающих проектов, отсутствие общепризнанной методологии оценки технических и экономических рисков данных проектов;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возможностей у компаний по привлечению долгосрочных займов, в том числе по причинам низкой капитализации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компаний в РФ;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у банков законодательных оснований, по которым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 может быть принят банками в виде потенциального залога;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сильный перекос в </w:t>
      </w:r>
      <w:proofErr w:type="spellStart"/>
      <w:r>
        <w:rPr>
          <w:rFonts w:ascii="Times New Roman" w:hAnsi="Times New Roman"/>
          <w:sz w:val="24"/>
          <w:szCs w:val="24"/>
        </w:rPr>
        <w:t>энергосервисных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контрактах в формулировании жестких рамок деятельности и обязанностей исполнителя контракта (</w:t>
      </w:r>
      <w:proofErr w:type="spellStart"/>
      <w:r>
        <w:rPr>
          <w:rFonts w:ascii="Times New Roman" w:hAnsi="Times New Roman"/>
          <w:sz w:val="24"/>
          <w:szCs w:val="24"/>
        </w:rPr>
        <w:t>энергосервисной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компании) в сравнении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заказчиком-потребителем ТЭР;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ограничения, накладываемые Бюджетным кодексом на потенциальных заказчиков-потребителей ТЭР и связанные с этим опасения заказчиков в возможном возникновении обвинений их адрес в нецелевом расходе бюджетных средств.6 Методика расчета целевых показателей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программы энергосбережения рассчитаны по методике расчета целевых показателей, которая утверждена приказом Министерства регионального развития РФ от 7 июня 2010 г. № 273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ind w:left="426" w:right="-1" w:firstLine="567"/>
        <w:jc w:val="both"/>
        <w:rPr>
          <w:i/>
        </w:rPr>
      </w:pPr>
      <w:r>
        <w:rPr>
          <w:i/>
        </w:rPr>
        <w:t>Ресурсное обеспечение программы</w:t>
      </w:r>
    </w:p>
    <w:p w:rsidR="00BB1599" w:rsidRDefault="00BB1599" w:rsidP="00BB1599">
      <w:pPr>
        <w:pStyle w:val="a7"/>
        <w:spacing w:after="0" w:line="240" w:lineRule="auto"/>
        <w:ind w:right="-1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Стоимостная оценка предложенных мероприятий и потребность в финансовых ресурсах определена исходя из перечня мероприятий, представленных выше.</w:t>
      </w:r>
    </w:p>
    <w:p w:rsidR="00BB1599" w:rsidRDefault="00BB1599" w:rsidP="00BB1599">
      <w:pPr>
        <w:pStyle w:val="a7"/>
        <w:spacing w:after="0" w:line="240" w:lineRule="auto"/>
        <w:ind w:right="-1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мероприятий может пересматриваться при внесении изменений и дополнений в перечень.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году. </w:t>
      </w:r>
    </w:p>
    <w:p w:rsidR="00BB1599" w:rsidRDefault="00BB1599" w:rsidP="00BB1599">
      <w:pPr>
        <w:pStyle w:val="a7"/>
        <w:spacing w:after="0" w:line="240" w:lineRule="auto"/>
        <w:ind w:right="-1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мероприятий Программы предполагается ежегодно предусматривать использование средств организации, полученных от внебюджетной (предпринимательской или иной приносящей доход) деятельности, а также средства из местного бюджета и прочие источники.</w:t>
      </w: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ind w:left="426" w:right="-1" w:firstLine="567"/>
        <w:jc w:val="center"/>
        <w:rPr>
          <w:i/>
        </w:rPr>
      </w:pPr>
      <w:bookmarkStart w:id="30" w:name="5.11_Организационные_мероприятия_по_энер"/>
      <w:bookmarkStart w:id="31" w:name="_bookmark18"/>
      <w:bookmarkEnd w:id="30"/>
      <w:bookmarkEnd w:id="31"/>
      <w:r>
        <w:rPr>
          <w:i/>
        </w:rPr>
        <w:lastRenderedPageBreak/>
        <w:t>Организационные мероприятия по</w:t>
      </w:r>
      <w:r>
        <w:rPr>
          <w:i/>
          <w:spacing w:val="1"/>
        </w:rPr>
        <w:t xml:space="preserve"> </w:t>
      </w:r>
      <w:r>
        <w:rPr>
          <w:i/>
        </w:rPr>
        <w:t>энергосбережению: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совещаний о ходе реализации программных мероприятий по энергосбережению (1 раз в квартал);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проведение обследований и ремонт приборов учета и регулирования, др. оборудования;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передача данных показаний приборов учета;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правильной эксплуатацией и состоянием оборудования;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ежедневного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работой электрического освещения, водоснабжения;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недопущение использования электроэнергии на цели, не предусмотренные производственным процессом, а также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выключением из источников питания </w:t>
      </w:r>
      <w:proofErr w:type="spellStart"/>
      <w:r>
        <w:rPr>
          <w:rFonts w:ascii="Times New Roman" w:hAnsi="Times New Roman"/>
          <w:sz w:val="24"/>
          <w:szCs w:val="24"/>
        </w:rPr>
        <w:t>электроприемников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 использования, что позволит сэкономить до 2,7 % потребления электроэнергии;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0,9 % потребления электроэнергии;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анализа потребления энергоресурсов и проведение своевременной сверки по данным журнала учёта расхода энергоресурсов и счетам поставщиков;</w:t>
      </w:r>
    </w:p>
    <w:p w:rsidR="00BB1599" w:rsidRDefault="00BB1599" w:rsidP="00BB1599">
      <w:pPr>
        <w:pStyle w:val="a7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 электроэнергии.</w:t>
      </w: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1341"/>
        </w:tabs>
        <w:spacing w:before="0"/>
        <w:ind w:left="426" w:right="-1" w:firstLine="567"/>
        <w:jc w:val="both"/>
      </w:pPr>
      <w:r>
        <w:t>Затратные технические мероприятия</w:t>
      </w:r>
    </w:p>
    <w:p w:rsidR="00BB1599" w:rsidRDefault="00BB1599" w:rsidP="00BB159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Замена устаревших осветительных приборов на светодиодные, замена ламп накаливания на энергосберегающие.</w:t>
      </w:r>
      <w:proofErr w:type="gramEnd"/>
    </w:p>
    <w:p w:rsidR="00BB1599" w:rsidRDefault="00BB1599" w:rsidP="00BB1599">
      <w:pPr>
        <w:pStyle w:val="a7"/>
        <w:spacing w:after="0" w:line="240" w:lineRule="auto"/>
        <w:ind w:right="-1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светодиодных ламп обусловлена их меньшим потреблением электрической энергии и большим сроком службы по сравнению с лампами накаливания и люминесцентными лампами, производящими световой поток аналогичного уровня.</w:t>
      </w:r>
    </w:p>
    <w:p w:rsidR="00BB1599" w:rsidRDefault="00BB1599" w:rsidP="00BB1599">
      <w:pPr>
        <w:pStyle w:val="a7"/>
        <w:spacing w:before="9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2057400</wp:posOffset>
            </wp:positionH>
            <wp:positionV relativeFrom="paragraph">
              <wp:posOffset>162560</wp:posOffset>
            </wp:positionV>
            <wp:extent cx="3797935" cy="1977390"/>
            <wp:effectExtent l="19050" t="0" r="0" b="0"/>
            <wp:wrapTopAndBottom/>
            <wp:docPr id="40" name="image2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þ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599" w:rsidRDefault="00BB1599" w:rsidP="00BB1599">
      <w:pPr>
        <w:pStyle w:val="11"/>
        <w:numPr>
          <w:ilvl w:val="0"/>
          <w:numId w:val="4"/>
        </w:numPr>
        <w:ind w:left="0" w:right="-1" w:firstLine="0"/>
        <w:jc w:val="center"/>
        <w:rPr>
          <w:i/>
        </w:rPr>
      </w:pPr>
      <w:r>
        <w:rPr>
          <w:i/>
        </w:rPr>
        <w:t>Определение потенциала снижения потребления и целевого уровня экономии ресурсов (по каждому виду ресурсов, для каждого здания) на трехлетний период</w:t>
      </w:r>
    </w:p>
    <w:p w:rsidR="00BB1599" w:rsidRDefault="00BB1599" w:rsidP="00BB1599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BB1599" w:rsidRDefault="00BB1599" w:rsidP="00BB1599">
      <w:pPr>
        <w:pStyle w:val="ae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Федерального закона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B1599" w:rsidRDefault="00BB1599" w:rsidP="00BB1599">
      <w:pPr>
        <w:pStyle w:val="ae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Постановления Правительства РФ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BB1599" w:rsidRDefault="00BB1599" w:rsidP="00BB1599">
      <w:pPr>
        <w:pStyle w:val="ae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Приказа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>
        <w:rPr>
          <w:iCs/>
          <w:sz w:val="24"/>
          <w:szCs w:val="24"/>
        </w:rPr>
        <w:t>, осуществляющих регулируемые виды деятельности, и отчетности о ходе их реализации»;</w:t>
      </w:r>
    </w:p>
    <w:p w:rsidR="00BB1599" w:rsidRDefault="00BB1599" w:rsidP="00BB1599">
      <w:pPr>
        <w:pStyle w:val="ae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Приказа Министерства энергетики РФ от 30 июня 2014 г. № 399 </w:t>
      </w:r>
      <w:r>
        <w:rPr>
          <w:color w:val="000000"/>
          <w:sz w:val="24"/>
          <w:szCs w:val="24"/>
        </w:rPr>
        <w:t>«</w:t>
      </w:r>
      <w:r>
        <w:rPr>
          <w:iCs/>
          <w:sz w:val="24"/>
          <w:szCs w:val="24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>
        <w:rPr>
          <w:sz w:val="24"/>
          <w:szCs w:val="24"/>
        </w:rPr>
        <w:t>;</w:t>
      </w:r>
    </w:p>
    <w:p w:rsidR="00BB1599" w:rsidRDefault="00BB1599" w:rsidP="00BB1599">
      <w:pPr>
        <w:pStyle w:val="ae"/>
        <w:numPr>
          <w:ilvl w:val="0"/>
          <w:numId w:val="7"/>
        </w:numPr>
        <w:tabs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BB1599" w:rsidRDefault="00BB1599" w:rsidP="00BB1599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так и с нарастающим итогом.</w:t>
      </w:r>
    </w:p>
    <w:p w:rsidR="00BB1599" w:rsidRDefault="00BB1599" w:rsidP="00BB1599">
      <w:pPr>
        <w:pStyle w:val="a7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программу включены обязательные корректировки в соответствии с установленными целевыми уровнями снижения потребления ресурсов, определенными на основании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>
        <w:rPr>
          <w:rFonts w:ascii="Times New Roman" w:hAnsi="Times New Roman"/>
          <w:sz w:val="24"/>
          <w:szCs w:val="24"/>
        </w:rPr>
        <w:t xml:space="preserve"> Рассчитанные целевые уровни приведены в таблице ниже.</w:t>
      </w:r>
    </w:p>
    <w:p w:rsidR="00BB1599" w:rsidRDefault="00BB1599" w:rsidP="00BB1599">
      <w:pPr>
        <w:pStyle w:val="a7"/>
        <w:ind w:right="-1" w:firstLine="993"/>
        <w:jc w:val="both"/>
        <w:rPr>
          <w:rFonts w:ascii="Times New Roman" w:hAnsi="Times New Roman"/>
          <w:sz w:val="24"/>
          <w:szCs w:val="24"/>
        </w:rPr>
      </w:pPr>
    </w:p>
    <w:p w:rsidR="00BB1599" w:rsidRDefault="00BB1599" w:rsidP="00BB1599">
      <w:pPr>
        <w:suppressAutoHyphens w:val="0"/>
        <w:jc w:val="left"/>
        <w:rPr>
          <w:rFonts w:eastAsia="SimSun"/>
          <w:sz w:val="28"/>
          <w:szCs w:val="28"/>
          <w:lang w:eastAsia="ru-RU"/>
        </w:rPr>
        <w:sectPr w:rsidR="00BB159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08"/>
        <w:gridCol w:w="708"/>
        <w:gridCol w:w="566"/>
        <w:gridCol w:w="567"/>
        <w:gridCol w:w="567"/>
        <w:gridCol w:w="1275"/>
        <w:gridCol w:w="1417"/>
        <w:gridCol w:w="851"/>
        <w:gridCol w:w="850"/>
        <w:gridCol w:w="992"/>
        <w:gridCol w:w="709"/>
        <w:gridCol w:w="709"/>
        <w:gridCol w:w="709"/>
        <w:gridCol w:w="992"/>
        <w:gridCol w:w="761"/>
        <w:gridCol w:w="761"/>
        <w:gridCol w:w="761"/>
        <w:gridCol w:w="835"/>
      </w:tblGrid>
      <w:tr w:rsidR="00BB1599" w:rsidTr="008430C0">
        <w:trPr>
          <w:trHeight w:val="138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32" w:name="_bookmark21"/>
            <w:bookmarkStart w:id="33" w:name="Карта_проекта_№1(технико-экономическая_о"/>
            <w:bookmarkStart w:id="34" w:name="_bookmark20"/>
            <w:bookmarkStart w:id="35" w:name="7_Заключительное_положение"/>
            <w:bookmarkStart w:id="36" w:name="_bookmark19"/>
            <w:bookmarkStart w:id="37" w:name="6_Методика_расчета_целевых_показателей"/>
            <w:bookmarkEnd w:id="32"/>
            <w:bookmarkEnd w:id="33"/>
            <w:bookmarkEnd w:id="34"/>
            <w:bookmarkEnd w:id="35"/>
            <w:bookmarkEnd w:id="36"/>
            <w:bookmarkEnd w:id="37"/>
            <w:r>
              <w:rPr>
                <w:color w:val="000000"/>
                <w:sz w:val="20"/>
                <w:szCs w:val="20"/>
              </w:rPr>
              <w:lastRenderedPageBreak/>
              <w:t>Наименование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Функциональное назначение 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Функционально-типологическая группа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адрес объекта (здания, строения, сооружения)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ресурса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потребления ресурса в базовом (2019) году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функционально-типологических групп в соответствии с табл. П1-1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потребления по годам за вычетом экономии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Индикаторы (площадь или пользователи для расчета </w:t>
            </w:r>
            <w:proofErr w:type="spellStart"/>
            <w:r>
              <w:rPr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оказ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годам)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экономии по годам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экономии за трехлетний период</w:t>
            </w:r>
          </w:p>
        </w:tc>
      </w:tr>
      <w:tr w:rsidR="00BB1599" w:rsidTr="008430C0">
        <w:trPr>
          <w:trHeight w:val="18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строение/корпус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Потенциал снижения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уровень экономии ресурсов на трехлетний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B1599" w:rsidTr="008430C0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BB1599" w:rsidTr="008430C0">
        <w:trPr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Кульгешского сельского поселения Урмарского района Чувашской </w:t>
            </w:r>
            <w:r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библиотеки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Нетиповое учреждение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Кульгеши, ул. Школьная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кВт×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кВт*ч/кв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6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Втч</w:t>
            </w:r>
            <w:proofErr w:type="spellEnd"/>
            <w:r>
              <w:rPr>
                <w:color w:val="000000"/>
                <w:sz w:val="20"/>
                <w:szCs w:val="20"/>
              </w:rPr>
              <w:t>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Горячая вода (ГВС)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 (ХВС)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462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</w:t>
            </w:r>
            <w:r>
              <w:rPr>
                <w:sz w:val="20"/>
                <w:szCs w:val="20"/>
              </w:rPr>
              <w:lastRenderedPageBreak/>
              <w:t>гешский клуб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Нети</w:t>
            </w:r>
            <w:r>
              <w:rPr>
                <w:sz w:val="20"/>
                <w:szCs w:val="20"/>
              </w:rPr>
              <w:lastRenderedPageBreak/>
              <w:t>повое учреждение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r>
              <w:rPr>
                <w:sz w:val="20"/>
                <w:szCs w:val="20"/>
              </w:rPr>
              <w:lastRenderedPageBreak/>
              <w:t xml:space="preserve">Кульгеши, ул. </w:t>
            </w:r>
            <w:proofErr w:type="spellStart"/>
            <w:r>
              <w:rPr>
                <w:sz w:val="20"/>
                <w:szCs w:val="20"/>
              </w:rPr>
              <w:t>Школьня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</w:t>
            </w:r>
            <w:r>
              <w:rPr>
                <w:color w:val="000000"/>
                <w:sz w:val="20"/>
                <w:szCs w:val="20"/>
              </w:rPr>
              <w:lastRenderedPageBreak/>
              <w:t>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кВт×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кВт*ч/кв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6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Втч</w:t>
            </w:r>
            <w:proofErr w:type="spellEnd"/>
            <w:r>
              <w:rPr>
                <w:color w:val="000000"/>
                <w:sz w:val="20"/>
                <w:szCs w:val="20"/>
              </w:rPr>
              <w:t>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Горячая вода (ГВС)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 (ХВС)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тут/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1599" w:rsidTr="008430C0">
        <w:trPr>
          <w:trHeight w:val="315"/>
        </w:trPr>
        <w:tc>
          <w:tcPr>
            <w:tcW w:w="3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потенциал по учреждению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color w:val="000000"/>
                <w:sz w:val="20"/>
                <w:szCs w:val="20"/>
              </w:rPr>
              <w:t>кВт×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BB1599" w:rsidTr="008430C0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кВт*ч/кв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Втч</w:t>
            </w:r>
            <w:proofErr w:type="spellEnd"/>
            <w:r>
              <w:rPr>
                <w:color w:val="000000"/>
                <w:sz w:val="20"/>
                <w:szCs w:val="20"/>
              </w:rPr>
              <w:t>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Горячая вода (ГВС)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Холодная вода (ХВС)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1599" w:rsidTr="008430C0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uppressAutoHyphens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B1599" w:rsidRDefault="00BB1599" w:rsidP="00BB1599">
      <w:pPr>
        <w:pStyle w:val="ae"/>
        <w:rPr>
          <w:szCs w:val="28"/>
        </w:rPr>
      </w:pPr>
    </w:p>
    <w:p w:rsidR="00BB1599" w:rsidRDefault="00BB1599" w:rsidP="00BB1599">
      <w:pPr>
        <w:suppressAutoHyphens w:val="0"/>
        <w:jc w:val="left"/>
        <w:rPr>
          <w:rFonts w:eastAsia="SimSun"/>
          <w:sz w:val="28"/>
          <w:szCs w:val="28"/>
          <w:lang w:eastAsia="ru-RU"/>
        </w:rPr>
        <w:sectPr w:rsidR="00BB1599">
          <w:pgSz w:w="16838" w:h="11906" w:orient="landscape"/>
          <w:pgMar w:top="851" w:right="1134" w:bottom="1701" w:left="900" w:header="709" w:footer="709" w:gutter="0"/>
          <w:cols w:space="720"/>
        </w:sectPr>
      </w:pPr>
    </w:p>
    <w:p w:rsidR="00BB1599" w:rsidRDefault="00BB1599" w:rsidP="00BB1599">
      <w:pPr>
        <w:pStyle w:val="11"/>
        <w:numPr>
          <w:ilvl w:val="0"/>
          <w:numId w:val="4"/>
        </w:numPr>
        <w:tabs>
          <w:tab w:val="left" w:pos="0"/>
        </w:tabs>
        <w:ind w:left="0" w:right="697" w:firstLine="0"/>
        <w:jc w:val="center"/>
        <w:rPr>
          <w:i/>
        </w:rPr>
      </w:pPr>
      <w:bookmarkStart w:id="38" w:name="_Toc480962746"/>
      <w:r>
        <w:rPr>
          <w:i/>
        </w:rPr>
        <w:lastRenderedPageBreak/>
        <w:t xml:space="preserve">График внедрения рекомендуемых </w:t>
      </w:r>
      <w:proofErr w:type="spellStart"/>
      <w:r>
        <w:rPr>
          <w:i/>
        </w:rPr>
        <w:t>энергоресурсосберегающих</w:t>
      </w:r>
      <w:proofErr w:type="spellEnd"/>
      <w:r>
        <w:rPr>
          <w:i/>
        </w:rPr>
        <w:t xml:space="preserve"> мероприятий</w:t>
      </w:r>
      <w:bookmarkEnd w:id="38"/>
    </w:p>
    <w:p w:rsidR="00BB1599" w:rsidRDefault="00BB1599" w:rsidP="00BB1599">
      <w:pPr>
        <w:pStyle w:val="11"/>
        <w:tabs>
          <w:tab w:val="left" w:pos="0"/>
        </w:tabs>
        <w:ind w:left="0" w:right="697"/>
        <w:rPr>
          <w:i/>
        </w:rPr>
      </w:pPr>
    </w:p>
    <w:tbl>
      <w:tblPr>
        <w:tblW w:w="10040" w:type="dxa"/>
        <w:tblInd w:w="91" w:type="dxa"/>
        <w:tblLook w:val="04A0"/>
      </w:tblPr>
      <w:tblGrid>
        <w:gridCol w:w="594"/>
        <w:gridCol w:w="7361"/>
        <w:gridCol w:w="2085"/>
      </w:tblGrid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№</w:t>
            </w:r>
          </w:p>
          <w:p w:rsidR="00BB1599" w:rsidRDefault="00BB1599" w:rsidP="008430C0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  <w:jc w:val="center"/>
            </w:pPr>
            <w:proofErr w:type="spellStart"/>
            <w:r>
              <w:t>Энергоресурсосберегающие</w:t>
            </w:r>
            <w:proofErr w:type="spellEnd"/>
            <w:r>
              <w:t xml:space="preserve">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Рекомендуемая дата внедрения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uppressAutoHyphens w:val="0"/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Организационные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599" w:rsidRDefault="00BB1599" w:rsidP="008430C0">
            <w:pPr>
              <w:spacing w:line="276" w:lineRule="auto"/>
              <w:jc w:val="center"/>
            </w:pPr>
          </w:p>
        </w:tc>
      </w:tr>
      <w:tr w:rsidR="00BB1599" w:rsidTr="008430C0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2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 xml:space="preserve">Осуществлять соблюдение </w:t>
            </w:r>
            <w:proofErr w:type="gramStart"/>
            <w:r>
              <w:t>графика проверки приборов учета энергоресурсов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3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4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Осуществлять контроль над соблюдением лимитов потребления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5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Контроль над расходованием электроэнергии в помещениях учреждения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6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7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Проводить сверки по данным журнала учета расхода энергии и счетам поставщиков 1 раз в квартал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8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9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расходованием  воды в учреждении, своевременная профилактика утечек воды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10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proofErr w:type="gramStart"/>
            <w:r>
              <w:t>Издать распорядительный документ по подготовке учреждения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 утепление дверей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11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Очистка светильников от пыли и отложений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12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 xml:space="preserve">Обеспечение выключения электроприборов от сети </w:t>
            </w:r>
            <w:proofErr w:type="gramStart"/>
            <w:r>
              <w:t>при</w:t>
            </w:r>
            <w:proofErr w:type="gramEnd"/>
            <w:r>
              <w:t xml:space="preserve"> их неиспользовании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13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Создание банка информационно-методических материалов для проведения инструктажа по энергосбережению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 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Мониторинговые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14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Анализ годового потребления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15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Ежемесячный анализ расхода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 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Работа с сотрудниками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599" w:rsidRDefault="00BB1599" w:rsidP="008430C0">
            <w:pPr>
              <w:spacing w:line="276" w:lineRule="auto"/>
              <w:jc w:val="center"/>
            </w:pPr>
          </w:p>
        </w:tc>
      </w:tr>
      <w:tr w:rsidR="00BB1599" w:rsidTr="008430C0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16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17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 xml:space="preserve">Инструктаж с сотрудниками по </w:t>
            </w:r>
            <w:proofErr w:type="gramStart"/>
            <w:r>
              <w:t>контролю за</w:t>
            </w:r>
            <w:proofErr w:type="gramEnd"/>
            <w:r>
              <w:t xml:space="preserve"> расходованием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lastRenderedPageBreak/>
              <w:t>18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расходованием электроэнергии, не допускать не целевого использования электроэнергии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19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Соблюдать график светового режима в помещениях и на территории учреждения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  <w:jc w:val="center"/>
            </w:pPr>
            <w:r>
              <w:t>2021 – 2023 гг.</w:t>
            </w:r>
          </w:p>
        </w:tc>
      </w:tr>
      <w:tr w:rsidR="00BB1599" w:rsidTr="008430C0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20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Разработка локальных актов по мотивации сотрудников учреждения на энергосбережение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</w:pPr>
            <w:r>
              <w:t>2021 – 2023 гг.</w:t>
            </w:r>
          </w:p>
        </w:tc>
      </w:tr>
      <w:tr w:rsidR="00BB1599" w:rsidTr="008430C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uppressAutoHyphens w:val="0"/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Затратные технические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599" w:rsidRDefault="00BB1599" w:rsidP="008430C0">
            <w:pPr>
              <w:spacing w:line="276" w:lineRule="auto"/>
            </w:pPr>
          </w:p>
        </w:tc>
      </w:tr>
      <w:tr w:rsidR="00BB1599" w:rsidTr="008430C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r>
              <w:t>21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99" w:rsidRDefault="00BB1599" w:rsidP="008430C0">
            <w:pPr>
              <w:spacing w:line="276" w:lineRule="auto"/>
            </w:pPr>
            <w:proofErr w:type="gramStart"/>
            <w:r>
              <w:t>Замена устаревших осветительных приборов на светодиодные, замена ламп накаливания на энергосберегающие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599" w:rsidRDefault="00BB1599" w:rsidP="008430C0">
            <w:pPr>
              <w:spacing w:line="276" w:lineRule="auto"/>
            </w:pPr>
            <w:r>
              <w:t>2021 – 2023 гг.</w:t>
            </w:r>
          </w:p>
        </w:tc>
      </w:tr>
    </w:tbl>
    <w:p w:rsidR="00BB1599" w:rsidRDefault="00BB1599" w:rsidP="00BB1599">
      <w:pPr>
        <w:rPr>
          <w:i/>
        </w:rPr>
      </w:pPr>
    </w:p>
    <w:p w:rsidR="00BB1599" w:rsidRDefault="00BB1599" w:rsidP="00BB1599">
      <w:pPr>
        <w:jc w:val="center"/>
        <w:rPr>
          <w:b/>
          <w:i/>
        </w:rPr>
      </w:pPr>
      <w:r>
        <w:rPr>
          <w:b/>
          <w:i/>
        </w:rPr>
        <w:t>15. Заключительное</w:t>
      </w:r>
      <w:r>
        <w:rPr>
          <w:b/>
          <w:i/>
          <w:spacing w:val="1"/>
        </w:rPr>
        <w:t xml:space="preserve"> </w:t>
      </w:r>
      <w:r>
        <w:rPr>
          <w:b/>
          <w:i/>
          <w:spacing w:val="2"/>
        </w:rPr>
        <w:t>положение</w:t>
      </w:r>
    </w:p>
    <w:p w:rsidR="00BB1599" w:rsidRDefault="00BB1599" w:rsidP="00BB1599">
      <w:pPr>
        <w:pStyle w:val="a7"/>
        <w:spacing w:before="108"/>
        <w:ind w:right="86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использования:</w:t>
      </w:r>
    </w:p>
    <w:p w:rsidR="00BB1599" w:rsidRDefault="00BB1599" w:rsidP="00BB1599">
      <w:pPr>
        <w:pStyle w:val="ab"/>
        <w:widowControl w:val="0"/>
        <w:numPr>
          <w:ilvl w:val="0"/>
          <w:numId w:val="8"/>
        </w:numPr>
        <w:tabs>
          <w:tab w:val="left" w:pos="1255"/>
        </w:tabs>
        <w:autoSpaceDE w:val="0"/>
        <w:autoSpaceDN w:val="0"/>
        <w:spacing w:before="3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удельных показателей энергетических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ресурсов;</w:t>
      </w:r>
    </w:p>
    <w:p w:rsidR="00BB1599" w:rsidRDefault="00BB1599" w:rsidP="00BB1599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41"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потребления энергии и связанных с этим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затрат;</w:t>
      </w:r>
    </w:p>
    <w:p w:rsidR="00BB1599" w:rsidRDefault="00BB1599" w:rsidP="00BB1599">
      <w:pPr>
        <w:pStyle w:val="ab"/>
        <w:widowControl w:val="0"/>
        <w:numPr>
          <w:ilvl w:val="0"/>
          <w:numId w:val="8"/>
        </w:numPr>
        <w:tabs>
          <w:tab w:val="left" w:pos="1255"/>
        </w:tabs>
        <w:autoSpaceDE w:val="0"/>
        <w:autoSpaceDN w:val="0"/>
        <w:spacing w:before="41" w:after="0" w:line="240" w:lineRule="auto"/>
        <w:ind w:left="0" w:right="83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учёта </w:t>
      </w:r>
      <w:r>
        <w:rPr>
          <w:rFonts w:ascii="Times New Roman" w:hAnsi="Times New Roman" w:cs="Times New Roman"/>
          <w:sz w:val="24"/>
          <w:szCs w:val="24"/>
        </w:rPr>
        <w:t>потребляемых энергетических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ресурсов;</w:t>
      </w:r>
    </w:p>
    <w:p w:rsidR="00BB1599" w:rsidRDefault="00BB1599" w:rsidP="00BB1599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41" w:after="0" w:line="240" w:lineRule="auto"/>
        <w:ind w:left="0" w:right="86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BB1599" w:rsidRDefault="00BB1599" w:rsidP="00BB1599">
      <w:pPr>
        <w:pStyle w:val="ab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85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мероприятий, обеспечивающих устойчивое снижение потребления энергетических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ресурсов.</w:t>
      </w:r>
    </w:p>
    <w:p w:rsidR="00BB1599" w:rsidRDefault="00BB1599" w:rsidP="00BB1599">
      <w:pPr>
        <w:pStyle w:val="ab"/>
        <w:shd w:val="clear" w:color="auto" w:fill="FFFFFF"/>
        <w:tabs>
          <w:tab w:val="left" w:pos="9781"/>
        </w:tabs>
        <w:ind w:right="839"/>
        <w:rPr>
          <w:rFonts w:ascii="Times New Roman" w:hAnsi="Times New Roman" w:cs="Times New Roman"/>
          <w:sz w:val="24"/>
          <w:szCs w:val="24"/>
        </w:rPr>
      </w:pPr>
    </w:p>
    <w:p w:rsidR="00BB1599" w:rsidRDefault="00BB1599" w:rsidP="00BB1599">
      <w:pPr>
        <w:pStyle w:val="ab"/>
        <w:shd w:val="clear" w:color="auto" w:fill="FFFFFF"/>
        <w:tabs>
          <w:tab w:val="left" w:pos="9781"/>
        </w:tabs>
        <w:ind w:right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при выполнении мероприятий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2552"/>
        <w:gridCol w:w="4820"/>
        <w:gridCol w:w="1842"/>
      </w:tblGrid>
      <w:tr w:rsidR="00BB1599" w:rsidTr="008430C0">
        <w:trPr>
          <w:trHeight w:hRule="exact" w:val="69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B1599" w:rsidRDefault="00BB1599" w:rsidP="008430C0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599" w:rsidRDefault="00BB1599" w:rsidP="008430C0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рисков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599" w:rsidRDefault="00BB1599" w:rsidP="008430C0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 рисками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599" w:rsidRDefault="00BB1599" w:rsidP="008430C0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</w:tr>
      <w:tr w:rsidR="00BB1599" w:rsidTr="008430C0">
        <w:trPr>
          <w:trHeight w:hRule="exact" w:val="91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</w:pPr>
            <w:r>
              <w:t>Срыв сроков поставок материалов и оборудования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</w:pPr>
            <w:r>
              <w:t>Своевременное оперативное проведение закупочных процедур и заключение договоров на поставки оборудования и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  <w:jc w:val="center"/>
            </w:pPr>
            <w:r>
              <w:t>Период реализации программы</w:t>
            </w:r>
          </w:p>
        </w:tc>
      </w:tr>
      <w:tr w:rsidR="00BB1599" w:rsidTr="008430C0">
        <w:trPr>
          <w:trHeight w:hRule="exact" w:val="11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</w:pPr>
            <w:r>
              <w:t>Неудовлетворяющее конечной цели проекта качество материалов и оборудования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</w:pPr>
            <w:r>
              <w:t>Технический анализ закупаемой продукции, входной контроль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599" w:rsidRDefault="00BB1599" w:rsidP="008430C0">
            <w:pPr>
              <w:pStyle w:val="Default"/>
              <w:spacing w:line="276" w:lineRule="auto"/>
              <w:jc w:val="center"/>
            </w:pPr>
            <w:r>
              <w:t>Период реализации программы</w:t>
            </w:r>
          </w:p>
        </w:tc>
      </w:tr>
    </w:tbl>
    <w:p w:rsidR="00BB1599" w:rsidRDefault="00BB1599" w:rsidP="00BB1599">
      <w:pPr>
        <w:pStyle w:val="ab"/>
        <w:tabs>
          <w:tab w:val="left" w:pos="1341"/>
        </w:tabs>
        <w:ind w:left="1109" w:right="857"/>
        <w:rPr>
          <w:rFonts w:ascii="Times New Roman" w:hAnsi="Times New Roman" w:cs="Times New Roman"/>
          <w:sz w:val="24"/>
          <w:szCs w:val="24"/>
        </w:rPr>
      </w:pPr>
    </w:p>
    <w:p w:rsidR="00BB1599" w:rsidRDefault="00BB1599" w:rsidP="00BB1599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773"/>
    <w:multiLevelType w:val="hybridMultilevel"/>
    <w:tmpl w:val="9F8AE876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A4F52"/>
    <w:multiLevelType w:val="hybridMultilevel"/>
    <w:tmpl w:val="B87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00FBE"/>
    <w:multiLevelType w:val="hybridMultilevel"/>
    <w:tmpl w:val="6DD2960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F312E"/>
    <w:multiLevelType w:val="hybridMultilevel"/>
    <w:tmpl w:val="EAC2D41A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A7839"/>
    <w:multiLevelType w:val="hybridMultilevel"/>
    <w:tmpl w:val="0FEE64D0"/>
    <w:lvl w:ilvl="0" w:tplc="A2D8CB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B04B3"/>
    <w:multiLevelType w:val="hybridMultilevel"/>
    <w:tmpl w:val="F3E072B0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26119"/>
    <w:multiLevelType w:val="hybridMultilevel"/>
    <w:tmpl w:val="A5623FA4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92AD4"/>
    <w:multiLevelType w:val="hybridMultilevel"/>
    <w:tmpl w:val="8F10CCFE"/>
    <w:lvl w:ilvl="0" w:tplc="BE100E94">
      <w:numFmt w:val="bullet"/>
      <w:lvlText w:val="-"/>
      <w:lvlJc w:val="left"/>
      <w:pPr>
        <w:ind w:left="3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C258C2">
      <w:numFmt w:val="bullet"/>
      <w:lvlText w:val="•"/>
      <w:lvlJc w:val="left"/>
      <w:pPr>
        <w:ind w:left="1421" w:hanging="154"/>
      </w:pPr>
      <w:rPr>
        <w:lang w:val="ru-RU" w:eastAsia="ru-RU" w:bidi="ru-RU"/>
      </w:rPr>
    </w:lvl>
    <w:lvl w:ilvl="2" w:tplc="9314DD54">
      <w:numFmt w:val="bullet"/>
      <w:lvlText w:val="•"/>
      <w:lvlJc w:val="left"/>
      <w:pPr>
        <w:ind w:left="2443" w:hanging="154"/>
      </w:pPr>
      <w:rPr>
        <w:lang w:val="ru-RU" w:eastAsia="ru-RU" w:bidi="ru-RU"/>
      </w:rPr>
    </w:lvl>
    <w:lvl w:ilvl="3" w:tplc="59F6CC24">
      <w:numFmt w:val="bullet"/>
      <w:lvlText w:val="•"/>
      <w:lvlJc w:val="left"/>
      <w:pPr>
        <w:ind w:left="3465" w:hanging="154"/>
      </w:pPr>
      <w:rPr>
        <w:lang w:val="ru-RU" w:eastAsia="ru-RU" w:bidi="ru-RU"/>
      </w:rPr>
    </w:lvl>
    <w:lvl w:ilvl="4" w:tplc="1FD0CBD8">
      <w:numFmt w:val="bullet"/>
      <w:lvlText w:val="•"/>
      <w:lvlJc w:val="left"/>
      <w:pPr>
        <w:ind w:left="4487" w:hanging="154"/>
      </w:pPr>
      <w:rPr>
        <w:lang w:val="ru-RU" w:eastAsia="ru-RU" w:bidi="ru-RU"/>
      </w:rPr>
    </w:lvl>
    <w:lvl w:ilvl="5" w:tplc="CE66B3C2">
      <w:numFmt w:val="bullet"/>
      <w:lvlText w:val="•"/>
      <w:lvlJc w:val="left"/>
      <w:pPr>
        <w:ind w:left="5509" w:hanging="154"/>
      </w:pPr>
      <w:rPr>
        <w:lang w:val="ru-RU" w:eastAsia="ru-RU" w:bidi="ru-RU"/>
      </w:rPr>
    </w:lvl>
    <w:lvl w:ilvl="6" w:tplc="B0567196">
      <w:numFmt w:val="bullet"/>
      <w:lvlText w:val="•"/>
      <w:lvlJc w:val="left"/>
      <w:pPr>
        <w:ind w:left="6531" w:hanging="154"/>
      </w:pPr>
      <w:rPr>
        <w:lang w:val="ru-RU" w:eastAsia="ru-RU" w:bidi="ru-RU"/>
      </w:rPr>
    </w:lvl>
    <w:lvl w:ilvl="7" w:tplc="2C20445E">
      <w:numFmt w:val="bullet"/>
      <w:lvlText w:val="•"/>
      <w:lvlJc w:val="left"/>
      <w:pPr>
        <w:ind w:left="7552" w:hanging="154"/>
      </w:pPr>
      <w:rPr>
        <w:lang w:val="ru-RU" w:eastAsia="ru-RU" w:bidi="ru-RU"/>
      </w:rPr>
    </w:lvl>
    <w:lvl w:ilvl="8" w:tplc="4E44027A">
      <w:numFmt w:val="bullet"/>
      <w:lvlText w:val="•"/>
      <w:lvlJc w:val="left"/>
      <w:pPr>
        <w:ind w:left="8574" w:hanging="154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99"/>
    <w:rsid w:val="002A0A2B"/>
    <w:rsid w:val="00304721"/>
    <w:rsid w:val="00A3635C"/>
    <w:rsid w:val="00BB1599"/>
    <w:rsid w:val="00C46D5C"/>
    <w:rsid w:val="00D1597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BB1599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BB1599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BB1599"/>
  </w:style>
  <w:style w:type="character" w:customStyle="1" w:styleId="a4">
    <w:name w:val="Цветовое выделение"/>
    <w:rsid w:val="00BB1599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BB1599"/>
    <w:rPr>
      <w:b/>
      <w:bCs/>
    </w:rPr>
  </w:style>
  <w:style w:type="paragraph" w:styleId="a6">
    <w:name w:val="No Spacing"/>
    <w:uiPriority w:val="1"/>
    <w:qFormat/>
    <w:rsid w:val="00BB1599"/>
    <w:pPr>
      <w:spacing w:after="0" w:line="240" w:lineRule="auto"/>
    </w:pPr>
  </w:style>
  <w:style w:type="paragraph" w:styleId="a7">
    <w:name w:val="Body Text"/>
    <w:basedOn w:val="a"/>
    <w:link w:val="a8"/>
    <w:uiPriority w:val="1"/>
    <w:unhideWhenUsed/>
    <w:qFormat/>
    <w:rsid w:val="00BB1599"/>
    <w:pPr>
      <w:suppressAutoHyphens w:val="0"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B1599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BB1599"/>
    <w:pPr>
      <w:suppressAutoHyphens w:val="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BB15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BB1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Подпись рисунка,Маркер,Ненумерованный список,List Paragraph,AC List 01,Абзац списка11"/>
    <w:basedOn w:val="a"/>
    <w:link w:val="ac"/>
    <w:uiPriority w:val="1"/>
    <w:qFormat/>
    <w:rsid w:val="00BB1599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Текст Знак"/>
    <w:aliases w:val="Знак7 Знак"/>
    <w:basedOn w:val="a0"/>
    <w:link w:val="ae"/>
    <w:semiHidden/>
    <w:locked/>
    <w:rsid w:val="00BB1599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e">
    <w:name w:val="Plain Text"/>
    <w:aliases w:val="Знак7"/>
    <w:basedOn w:val="a"/>
    <w:link w:val="ad"/>
    <w:semiHidden/>
    <w:unhideWhenUsed/>
    <w:qFormat/>
    <w:rsid w:val="00BB1599"/>
    <w:pPr>
      <w:tabs>
        <w:tab w:val="left" w:pos="1701"/>
      </w:tabs>
      <w:suppressAutoHyphens w:val="0"/>
      <w:ind w:firstLine="851"/>
    </w:pPr>
    <w:rPr>
      <w:rFonts w:eastAsia="SimSun"/>
      <w:sz w:val="28"/>
      <w:szCs w:val="20"/>
      <w:lang w:eastAsia="ru-RU"/>
    </w:rPr>
  </w:style>
  <w:style w:type="character" w:customStyle="1" w:styleId="1">
    <w:name w:val="Текст Знак1"/>
    <w:basedOn w:val="a0"/>
    <w:link w:val="ae"/>
    <w:uiPriority w:val="99"/>
    <w:semiHidden/>
    <w:rsid w:val="00BB1599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ac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b"/>
    <w:uiPriority w:val="1"/>
    <w:locked/>
    <w:rsid w:val="00BB1599"/>
  </w:style>
  <w:style w:type="paragraph" w:customStyle="1" w:styleId="11">
    <w:name w:val="Заголовок 11"/>
    <w:basedOn w:val="a"/>
    <w:uiPriority w:val="1"/>
    <w:qFormat/>
    <w:rsid w:val="00BB1599"/>
    <w:pPr>
      <w:widowControl w:val="0"/>
      <w:suppressAutoHyphens w:val="0"/>
      <w:autoSpaceDE w:val="0"/>
      <w:autoSpaceDN w:val="0"/>
      <w:spacing w:before="72"/>
      <w:ind w:left="399"/>
      <w:jc w:val="left"/>
      <w:outlineLvl w:val="1"/>
    </w:pPr>
    <w:rPr>
      <w:b/>
      <w:bCs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6330</Words>
  <Characters>36081</Characters>
  <Application>Microsoft Office Word</Application>
  <DocSecurity>0</DocSecurity>
  <Lines>300</Lines>
  <Paragraphs>84</Paragraphs>
  <ScaleCrop>false</ScaleCrop>
  <Company>Microsoft</Company>
  <LinksUpToDate>false</LinksUpToDate>
  <CharactersWithSpaces>42327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2021-07-30T05:50:00Z</dcterms:created>
  <dcterms:modified xsi:type="dcterms:W3CDTF">2021-11-25T07:50:00Z</dcterms:modified>
</cp:coreProperties>
</file>