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003F" w14:textId="1124BDFB" w:rsidR="002303D4" w:rsidRDefault="002303D4" w:rsidP="002303D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noProof/>
          <w:kern w:val="2"/>
          <w:sz w:val="24"/>
          <w:szCs w:val="24"/>
          <w:lang w:eastAsia="ar-SA"/>
        </w:rPr>
        <w:drawing>
          <wp:inline distT="0" distB="0" distL="0" distR="0" wp14:anchorId="17E9571F" wp14:editId="1C520208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03D4" w14:paraId="4480882B" w14:textId="77777777" w:rsidTr="002303D4">
        <w:trPr>
          <w:cantSplit/>
        </w:trPr>
        <w:tc>
          <w:tcPr>
            <w:tcW w:w="4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2303D4" w14:paraId="336F8916" w14:textId="77777777">
              <w:trPr>
                <w:cantSplit/>
              </w:trPr>
              <w:tc>
                <w:tcPr>
                  <w:tcW w:w="4215" w:type="dxa"/>
                  <w:hideMark/>
                </w:tcPr>
                <w:p w14:paraId="79D675BB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2303D4" w14:paraId="39464F50" w14:textId="77777777">
              <w:trPr>
                <w:cantSplit/>
                <w:trHeight w:val="2355"/>
              </w:trPr>
              <w:tc>
                <w:tcPr>
                  <w:tcW w:w="4215" w:type="dxa"/>
                </w:tcPr>
                <w:p w14:paraId="58EAD819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44711F62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14:paraId="42CDC672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14:paraId="6B42E711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14:paraId="00A76759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13471A9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14:paraId="43F9404E" w14:textId="2DF6C8D0" w:rsidR="002303D4" w:rsidRDefault="0091168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"/>
                      <w:sz w:val="24"/>
                      <w:szCs w:val="24"/>
                      <w:u w:val="single"/>
                      <w:lang w:eastAsia="ar-SA"/>
                    </w:rPr>
                    <w:t>25</w:t>
                  </w:r>
                  <w:r w:rsidR="002303D4">
                    <w:rPr>
                      <w:rFonts w:ascii="Times New Roman" w:eastAsia="Times New Roman" w:hAnsi="Times New Roman"/>
                      <w:bCs/>
                      <w:kern w:val="2"/>
                      <w:sz w:val="24"/>
                      <w:szCs w:val="24"/>
                      <w:u w:val="single"/>
                      <w:lang w:eastAsia="ar-SA"/>
                    </w:rPr>
                    <w:t>.06.</w:t>
                  </w:r>
                  <w:r w:rsidR="002303D4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2021 № 2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</w:p>
                <w:p w14:paraId="4C24C27F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14:paraId="595D8D59" w14:textId="77777777" w:rsidR="002303D4" w:rsidRDefault="002303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14:paraId="75046EA3" w14:textId="77777777" w:rsidR="002303D4" w:rsidRDefault="002303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2"/>
            </w:tblGrid>
            <w:tr w:rsidR="002303D4" w14:paraId="1CE2B373" w14:textId="77777777">
              <w:trPr>
                <w:cantSplit/>
                <w:trHeight w:val="455"/>
              </w:trPr>
              <w:tc>
                <w:tcPr>
                  <w:tcW w:w="4202" w:type="dxa"/>
                </w:tcPr>
                <w:p w14:paraId="46156537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3DD8CE84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14:paraId="41776822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303D4" w14:paraId="4CD7BA19" w14:textId="77777777">
              <w:trPr>
                <w:cantSplit/>
              </w:trPr>
              <w:tc>
                <w:tcPr>
                  <w:tcW w:w="4202" w:type="dxa"/>
                </w:tcPr>
                <w:p w14:paraId="400B071D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kern w:val="2"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14:paraId="021CB031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14:paraId="219FF44F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14:paraId="106C507F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2658E1CB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14:paraId="3ADAF16D" w14:textId="7B31D9F2" w:rsidR="002303D4" w:rsidRDefault="0091168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25</w:t>
                  </w:r>
                  <w:r w:rsidR="002303D4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.06. 2021 2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2303D4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14:paraId="7C6CC3C7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14:paraId="739F99AF" w14:textId="77777777" w:rsidR="002303D4" w:rsidRDefault="002303D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B0B1DBD" w14:textId="77777777" w:rsidR="002303D4" w:rsidRDefault="002303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1B4D4388" w14:textId="77777777" w:rsidR="00911683" w:rsidRDefault="00911683" w:rsidP="00695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14:paraId="4F6C563A" w14:textId="3975F082" w:rsidR="00911683" w:rsidRPr="00911683" w:rsidRDefault="00911683" w:rsidP="00911683">
      <w:pPr>
        <w:suppressAutoHyphens/>
        <w:autoSpaceDE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  порядка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Урмарского  района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</w:p>
    <w:p w14:paraId="0A34D427" w14:textId="77777777" w:rsidR="00911683" w:rsidRPr="00911683" w:rsidRDefault="00911683" w:rsidP="00911683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B90EB" w14:textId="2CA600E1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26 июля 2006 года № 135-ФЗ «О защите конкуренции», от 28 декабря 2009 года </w:t>
      </w:r>
      <w:hyperlink r:id="rId7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381-ФЗ «Об основах государственного регулирования торговой деятельности в Российской Федерации», в целях упорядочения размещения и функционирования нестационарных торговых объектов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 Чувашской Республики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условий для улучшения организации и качества торгового обслуживания населения  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дминистрация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 о с т а н о в л я е т:</w:t>
      </w:r>
    </w:p>
    <w:p w14:paraId="61B35C6A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2E91" w14:textId="011FEE03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Порядок размещения нестационарных торговых объектов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района.</w:t>
      </w:r>
    </w:p>
    <w:p w14:paraId="7E204544" w14:textId="0D77353D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2.Постановление опубликовать в периодическом печатном издании «Новости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Кудеснерского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поселения» и разместить на Интернет-сайте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14:paraId="370E44A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396D8E2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возлагаю на себя.</w:t>
      </w:r>
    </w:p>
    <w:p w14:paraId="3AF3E1FC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15CA2" w14:textId="77777777" w:rsidR="00911683" w:rsidRPr="00911683" w:rsidRDefault="00911683" w:rsidP="00911683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35BB95C2" w14:textId="77777777" w:rsidR="00911683" w:rsidRPr="00911683" w:rsidRDefault="00911683" w:rsidP="00911683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786D0452" w14:textId="77777777" w:rsidR="00911683" w:rsidRPr="00911683" w:rsidRDefault="00911683" w:rsidP="00911683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94BBD9F" w14:textId="77777777" w:rsidR="00911683" w:rsidRPr="00911683" w:rsidRDefault="00911683" w:rsidP="00911683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168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4E1FC940" w14:textId="77777777" w:rsidR="00911683" w:rsidRDefault="00911683" w:rsidP="009116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   </w:t>
      </w:r>
    </w:p>
    <w:p w14:paraId="39B62BBE" w14:textId="106FD2A0" w:rsidR="00911683" w:rsidRPr="00911683" w:rsidRDefault="00911683" w:rsidP="00911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Урмарского района Чувашской Республики:   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О.Л.Николаев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 w:rsidRPr="009116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Par49"/>
      <w:bookmarkEnd w:id="0"/>
    </w:p>
    <w:p w14:paraId="1CB8ED98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gramStart"/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размещения</w:t>
      </w:r>
      <w:proofErr w:type="gramEnd"/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нестационарных торговых объектов</w:t>
      </w:r>
    </w:p>
    <w:p w14:paraId="7D7FA453" w14:textId="1B0E52F8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сельского поселения Урмарского  района </w:t>
      </w:r>
    </w:p>
    <w:p w14:paraId="24D008A1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Чувашской Республики</w:t>
      </w:r>
    </w:p>
    <w:p w14:paraId="5BE7C15C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1BB17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344F0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14:paraId="1A986E07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1B6EA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Нестационарные торговые объекты не являются недвижимым имуществом. Общим критерием отнесения объектов к нестационарным объектам мелкорозничной торговой сети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14:paraId="76932DEF" w14:textId="63436D49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2.Размещение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осуществляется с учетом обеспеченности населения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стационарными предприятиями потребительского рынка и услуг в целях создания максимального удобства для населения.</w:t>
      </w:r>
    </w:p>
    <w:p w14:paraId="07561E7E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Размещение нестационарных торговых объектов в местах, не предусмотренных схемой размещения таких объектов, а также без </w:t>
      </w:r>
      <w:hyperlink r:id="rId8" w:anchor="Par287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размещения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Федерации, нормативными правовыми актами Чувашской Республики и Урмарского  района.</w:t>
      </w:r>
    </w:p>
    <w:p w14:paraId="0DDC7436" w14:textId="5A1F3DDA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Места для размещения нестационарных торговых объектов на земельных участках, находящихся в муниципальной собственности,  а также  в зданиях, строениях, сооружениях, находящихся в муниципальной собственности, юридическим лицам, и индивидуальным предпринимателям предоставляются в соответствии со схемой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нестационарных торговых объектов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Урмарского  района Чувашской Республики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Урмарского  района, путем проведения открытого аукциона (далее аукцион).</w:t>
      </w:r>
    </w:p>
    <w:p w14:paraId="5D62E414" w14:textId="7B5FC39D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Предметом аукциона является право на заключение договора на размещение нестационарного торгового объекта (в размере единого платежа за весь период действия договора) юридическими лицами и индивидуальными предпринимателями с администрацией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района.</w:t>
      </w:r>
    </w:p>
    <w:p w14:paraId="35D4B067" w14:textId="708F2749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Договоры аренды земельных участков на размещение нестационарных торговых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района, заключенные до утверждения настоящего Положения, действительны до окончания срока их действия.</w:t>
      </w:r>
    </w:p>
    <w:p w14:paraId="3B8030CA" w14:textId="278092FE" w:rsidR="00911683" w:rsidRPr="00911683" w:rsidRDefault="00911683" w:rsidP="00911683">
      <w:pPr>
        <w:widowControl w:val="0"/>
        <w:spacing w:after="0" w:line="232" w:lineRule="auto"/>
        <w:ind w:firstLine="426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  <w:r w:rsidRPr="00911683">
        <w:rPr>
          <w:rFonts w:ascii="Calibri" w:eastAsia="Calibri" w:hAnsi="Calibri" w:cs="Times New Roman"/>
          <w:sz w:val="24"/>
          <w:szCs w:val="24"/>
        </w:rPr>
        <w:t xml:space="preserve">1.7. Начальная цена предмета аукциона (в размере единого ежегодного платежа за весь период действия договора) </w:t>
      </w:r>
      <w:r w:rsidRPr="00911683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определяется </w:t>
      </w:r>
      <w:r w:rsidRPr="00911683">
        <w:rPr>
          <w:rFonts w:ascii="Calibri" w:eastAsia="Calibri" w:hAnsi="Calibri" w:cs="Times New Roman"/>
          <w:sz w:val="24"/>
          <w:szCs w:val="24"/>
        </w:rPr>
        <w:t xml:space="preserve">на основании методики </w:t>
      </w:r>
      <w:r w:rsidRPr="00911683">
        <w:rPr>
          <w:rFonts w:ascii="Calibri" w:eastAsia="Calibri" w:hAnsi="Calibri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определения размера платы за право размещения нестационарных торговых объектов</w:t>
      </w:r>
      <w:r w:rsidRPr="00911683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ru-RU"/>
        </w:rPr>
        <w:t>Кудеснерского</w:t>
      </w:r>
      <w:r w:rsidRPr="00911683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сельского</w:t>
      </w:r>
      <w:proofErr w:type="gramEnd"/>
      <w:r w:rsidRPr="00911683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Урмарского  района (приложение №1 к настоящему Положению).</w:t>
      </w:r>
    </w:p>
    <w:p w14:paraId="3FDC994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1. 8. Настоящий Порядок не распространяется на отношения, связанные с размещением нестационарных торговых объектов:</w:t>
      </w:r>
    </w:p>
    <w:p w14:paraId="0CF07E0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а) находящихся на территориях рынков;</w:t>
      </w:r>
    </w:p>
    <w:p w14:paraId="012082F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б)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14:paraId="574D8AE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питания.</w:t>
      </w:r>
    </w:p>
    <w:p w14:paraId="54D5E6AE" w14:textId="77777777" w:rsidR="00911683" w:rsidRPr="00911683" w:rsidRDefault="00911683" w:rsidP="00911683">
      <w:pPr>
        <w:widowControl w:val="0"/>
        <w:spacing w:after="0" w:line="232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CFF79B4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6"/>
      <w:bookmarkEnd w:id="1"/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проведения аукциона на право размещения </w:t>
      </w:r>
    </w:p>
    <w:p w14:paraId="5FECB5B9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нестационарных торговых объектов</w:t>
      </w:r>
    </w:p>
    <w:p w14:paraId="1704510D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2735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1.Целью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является выбор юридического лица или индивидуального предпринимателя для предоставления права на заключение договора на размещение нестационарного торгового объекта;</w:t>
      </w:r>
    </w:p>
    <w:p w14:paraId="503ADAA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2.Аукцион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объекта;</w:t>
      </w:r>
    </w:p>
    <w:p w14:paraId="7CE3B7B8" w14:textId="63C4AADC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принимается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 и оформляется соответствующим постановлением администрации сельского  поселения, в котором определяется предмет аукциона;</w:t>
      </w:r>
    </w:p>
    <w:p w14:paraId="470C19BC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4.Аукционная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 подготовке и проведении аукциона осуществляет следующие функции:</w:t>
      </w:r>
    </w:p>
    <w:p w14:paraId="36441FEF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величину повышения начальной цены - «шаг аукциона»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14:paraId="6E89D71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место, дату начала и окончания приема заявок, место и срок подведения итогов аукциона;</w:t>
      </w:r>
    </w:p>
    <w:p w14:paraId="390E2B5C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основаниям, предусмотренным настоящим Положением, и уведомляет заявителей о принятом решении;</w:t>
      </w:r>
    </w:p>
    <w:p w14:paraId="6FA22855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аукциониста для проведения аукциона;</w:t>
      </w:r>
    </w:p>
    <w:p w14:paraId="3AF242C2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рассмотрения заявок на участие в аукционе;</w:t>
      </w:r>
    </w:p>
    <w:p w14:paraId="7AF7EC4E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победителя аукциона;</w:t>
      </w:r>
    </w:p>
    <w:p w14:paraId="143178C1" w14:textId="26DFB912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подготовку, публикацию и размещение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 в информационно-телекоммуникационной сети «Интернет» (далее официальный сайт администрации) извещения о проведении аукциона не менее чем за тридцать дней до дня проведения аукциона;</w:t>
      </w:r>
    </w:p>
    <w:p w14:paraId="48F246E0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 заявителей заявки на участие в аукционе и прилагаемые к ним документы;</w:t>
      </w:r>
    </w:p>
    <w:p w14:paraId="1195D326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заявок в журнале приема заявок по мере их поступления;</w:t>
      </w:r>
    </w:p>
    <w:p w14:paraId="3BD20F21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14:paraId="049B32E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приема заявок в течение одного дня со дня    окончания срока приема заявок;</w:t>
      </w:r>
    </w:p>
    <w:p w14:paraId="50FD1140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начальную цену предмета аукциона;</w:t>
      </w:r>
    </w:p>
    <w:p w14:paraId="178BA0B7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победителя аукциона о признании его победителем;</w:t>
      </w:r>
    </w:p>
    <w:p w14:paraId="62A14580" w14:textId="74F7ACBB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размещение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 информации о результатах аукциона;</w:t>
      </w:r>
    </w:p>
    <w:p w14:paraId="5FF4221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Извещение о проведении аукциона должно содержать сведения:</w:t>
      </w:r>
    </w:p>
    <w:p w14:paraId="33CD4126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организаторе аукциона;</w:t>
      </w:r>
    </w:p>
    <w:p w14:paraId="64491263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месте, дате, времени и порядке проведения аукциона;</w:t>
      </w:r>
    </w:p>
    <w:p w14:paraId="62535A05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предмете аукциона;</w:t>
      </w:r>
    </w:p>
    <w:p w14:paraId="32B16DE6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начальной цене предмета аукциона;</w:t>
      </w:r>
    </w:p>
    <w:p w14:paraId="5BD1E29A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аукционе;</w:t>
      </w:r>
    </w:p>
    <w:p w14:paraId="1DEF03D1" w14:textId="103339CC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6.Организатор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вправе отказаться от проведения аукциона не позднее, чем за пятнадцать дней до дня проведения аукциона. Извещение об отказе в проведении аукциона опубликовывается организатором аукциона в течение трех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на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района.</w:t>
      </w:r>
      <w:bookmarkStart w:id="2" w:name="Par106"/>
      <w:bookmarkEnd w:id="2"/>
    </w:p>
    <w:p w14:paraId="35E6C29C" w14:textId="77777777" w:rsidR="00EB6EB3" w:rsidRDefault="00EB6EB3" w:rsidP="00EB6EB3">
      <w:pPr>
        <w:pStyle w:val="a8"/>
        <w:ind w:firstLine="706"/>
        <w:jc w:val="both"/>
      </w:pPr>
      <w:r>
        <w:t>2.7. Для участия в аукционе заявители представляют в установленный в извещении о проведении аукциона срок необходимые документы.</w:t>
      </w:r>
    </w:p>
    <w:p w14:paraId="73CFEC0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документов прекращается не ранее чем за пять дней до дня проведения аукциона.</w:t>
      </w:r>
    </w:p>
    <w:p w14:paraId="0A9F52B1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Один заявитель вправе подать только одну заявку на участие в аукционе.</w:t>
      </w:r>
    </w:p>
    <w:p w14:paraId="1D340AF9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Заявка на участие в аукционе, поступившая по истечении срока ее приема, возвращается в день ее поступления заявителю.</w:t>
      </w:r>
    </w:p>
    <w:p w14:paraId="6B522160" w14:textId="2EC2550B" w:rsidR="00EB6EB3" w:rsidRDefault="00EB6EB3" w:rsidP="00EB6EB3">
      <w:pPr>
        <w:pStyle w:val="a8"/>
        <w:ind w:firstLine="706"/>
        <w:jc w:val="both"/>
      </w:pPr>
      <w:r w:rsidRPr="00413B83">
        <w:t>2.1</w:t>
      </w:r>
      <w:r>
        <w:t>1</w:t>
      </w:r>
      <w:r w:rsidRPr="00413B83">
        <w:t>. Заявитель становится участником аукциона с момента подписания организатором аукциона протокола приема заявок.</w:t>
      </w:r>
    </w:p>
    <w:p w14:paraId="1D792043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2</w:t>
      </w:r>
      <w:r w:rsidRPr="00413B83">
        <w:t>. Заявители, признанные участниками аукциона, и заявители, не допущенные к уч</w:t>
      </w:r>
      <w:r w:rsidRPr="00413B83">
        <w:t>а</w:t>
      </w:r>
      <w:r w:rsidRPr="00413B83">
        <w:t>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</w:t>
      </w:r>
      <w:r w:rsidRPr="00413B83">
        <w:t>о</w:t>
      </w:r>
      <w:r w:rsidRPr="00413B83">
        <w:t>не.</w:t>
      </w:r>
    </w:p>
    <w:p w14:paraId="4AD76768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3</w:t>
      </w:r>
      <w:r w:rsidRPr="00413B83">
        <w:t>. Заявитель имеет право отозвать принятую организатором ау</w:t>
      </w:r>
      <w:r w:rsidRPr="00413B83">
        <w:t>к</w:t>
      </w:r>
      <w:r w:rsidRPr="00413B83">
        <w:t>циона заявку до дня окончания срока приема заявок, уведомив об этом в письменной форме организатора аукци</w:t>
      </w:r>
      <w:r w:rsidRPr="00413B83">
        <w:t>о</w:t>
      </w:r>
      <w:r w:rsidRPr="00413B83">
        <w:t>на.</w:t>
      </w:r>
    </w:p>
    <w:p w14:paraId="44A6DC0B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4</w:t>
      </w:r>
      <w:r w:rsidRPr="00413B83">
        <w:t>. Результат аукциона оформляется протоколом, который подп</w:t>
      </w:r>
      <w:r w:rsidRPr="00413B83">
        <w:t>и</w:t>
      </w:r>
      <w:r w:rsidRPr="00413B83">
        <w:t>сывается председателем аукционной комиссии, аукционистом и победителем аукциона в день провед</w:t>
      </w:r>
      <w:r w:rsidRPr="00413B83">
        <w:t>е</w:t>
      </w:r>
      <w:r w:rsidRPr="00413B83">
        <w:t>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</w:t>
      </w:r>
      <w:r w:rsidRPr="00413B83">
        <w:t>к</w:t>
      </w:r>
      <w:r w:rsidRPr="00413B83">
        <w:t>же указываются:</w:t>
      </w:r>
    </w:p>
    <w:p w14:paraId="505474FA" w14:textId="77777777" w:rsidR="00771D3B" w:rsidRPr="00413B83" w:rsidRDefault="00771D3B" w:rsidP="00771D3B">
      <w:pPr>
        <w:pStyle w:val="a8"/>
        <w:jc w:val="both"/>
      </w:pPr>
      <w:r w:rsidRPr="00413B83">
        <w:t>регистрационный номер предмета аукциона;</w:t>
      </w:r>
    </w:p>
    <w:p w14:paraId="531872A3" w14:textId="77777777" w:rsidR="00771D3B" w:rsidRPr="00413B83" w:rsidRDefault="00771D3B" w:rsidP="00771D3B">
      <w:pPr>
        <w:pStyle w:val="a8"/>
        <w:jc w:val="both"/>
      </w:pPr>
      <w:r w:rsidRPr="00413B83">
        <w:t>место расположения (адрес), кадастровый квартал района для размещения нестационарн</w:t>
      </w:r>
      <w:r w:rsidRPr="00413B83">
        <w:t>о</w:t>
      </w:r>
      <w:r w:rsidRPr="00413B83">
        <w:t>го торгового объекта;</w:t>
      </w:r>
    </w:p>
    <w:p w14:paraId="6BF2AC8E" w14:textId="77777777" w:rsidR="00771D3B" w:rsidRPr="00413B83" w:rsidRDefault="00771D3B" w:rsidP="00771D3B">
      <w:pPr>
        <w:pStyle w:val="a8"/>
        <w:jc w:val="both"/>
      </w:pPr>
      <w:r w:rsidRPr="00413B83">
        <w:t>предложения участников аукциона;</w:t>
      </w:r>
    </w:p>
    <w:p w14:paraId="57D2BF84" w14:textId="77777777" w:rsidR="00771D3B" w:rsidRPr="00413B83" w:rsidRDefault="00771D3B" w:rsidP="00771D3B">
      <w:pPr>
        <w:pStyle w:val="a8"/>
        <w:jc w:val="both"/>
      </w:pPr>
      <w:r w:rsidRPr="00413B83">
        <w:t>победитель аукциона;</w:t>
      </w:r>
    </w:p>
    <w:p w14:paraId="4B0A1593" w14:textId="77777777" w:rsidR="00771D3B" w:rsidRPr="00413B83" w:rsidRDefault="00771D3B" w:rsidP="00771D3B">
      <w:pPr>
        <w:pStyle w:val="a8"/>
        <w:jc w:val="both"/>
      </w:pPr>
      <w:r w:rsidRPr="00413B83">
        <w:t>цена приобретаемого права на заключение договора на размещение нестационарного торгового об</w:t>
      </w:r>
      <w:r w:rsidRPr="00413B83">
        <w:t>ъ</w:t>
      </w:r>
      <w:r w:rsidRPr="00413B83">
        <w:t>екта.</w:t>
      </w:r>
    </w:p>
    <w:p w14:paraId="5CEA9473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5</w:t>
      </w:r>
      <w:r w:rsidRPr="00413B83">
        <w:t xml:space="preserve">. Организатор аукциона в течение трех рабочих дней после объявления протокола заключает с победителем аукциона </w:t>
      </w:r>
      <w:hyperlink w:anchor="Par287" w:tooltip="Ссылка на текущий документ" w:history="1">
        <w:r w:rsidRPr="00413B83">
          <w:t>договор</w:t>
        </w:r>
      </w:hyperlink>
      <w:r w:rsidRPr="00413B83">
        <w:t xml:space="preserve"> о предоставлении  права  на размещение нестаци</w:t>
      </w:r>
      <w:r w:rsidRPr="00413B83">
        <w:t>о</w:t>
      </w:r>
      <w:r w:rsidRPr="00413B83">
        <w:t xml:space="preserve">нарного торгового объекта  </w:t>
      </w:r>
      <w:r w:rsidRPr="00413B83">
        <w:rPr>
          <w:noProof/>
        </w:rPr>
        <w:t xml:space="preserve">на </w:t>
      </w:r>
      <w:r w:rsidRPr="00413B83">
        <w:rPr>
          <w:lang w:eastAsia="zh-CN"/>
        </w:rPr>
        <w:t>Урмарского городского</w:t>
      </w:r>
      <w:r w:rsidRPr="00413B83">
        <w:rPr>
          <w:noProof/>
        </w:rPr>
        <w:t xml:space="preserve"> поселения Урмарского  района</w:t>
      </w:r>
      <w:r w:rsidRPr="00413B83">
        <w:t xml:space="preserve"> (пр</w:t>
      </w:r>
      <w:r w:rsidRPr="00413B83">
        <w:t>и</w:t>
      </w:r>
      <w:r w:rsidRPr="00413B83">
        <w:t>ложение № 4 к настоящему Положению) – далее договор, при наличии платежного документа  об оплате цены приобретаемого права на заключение договора на размещение нестационарного торгового объекта по результатам аукци</w:t>
      </w:r>
      <w:r w:rsidRPr="00413B83">
        <w:t>о</w:t>
      </w:r>
      <w:r w:rsidRPr="00413B83">
        <w:t>на.</w:t>
      </w:r>
    </w:p>
    <w:p w14:paraId="2E4DD6C5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6</w:t>
      </w:r>
      <w:r w:rsidRPr="00413B83">
        <w:t>. Аукцион признается не состоявшимся в случае, если:</w:t>
      </w:r>
    </w:p>
    <w:p w14:paraId="7B3518FB" w14:textId="77777777" w:rsidR="00771D3B" w:rsidRPr="00413B83" w:rsidRDefault="00771D3B" w:rsidP="00771D3B">
      <w:pPr>
        <w:pStyle w:val="a8"/>
        <w:jc w:val="both"/>
      </w:pPr>
      <w:r w:rsidRPr="00413B83">
        <w:t>в аукционе участвовали м</w:t>
      </w:r>
      <w:r w:rsidRPr="00413B83">
        <w:t>е</w:t>
      </w:r>
      <w:r w:rsidRPr="00413B83">
        <w:t>нее двух участников;</w:t>
      </w:r>
    </w:p>
    <w:p w14:paraId="3F0C5815" w14:textId="77777777" w:rsidR="00771D3B" w:rsidRPr="00413B83" w:rsidRDefault="00771D3B" w:rsidP="00771D3B">
      <w:pPr>
        <w:pStyle w:val="a8"/>
        <w:jc w:val="both"/>
      </w:pPr>
      <w:r w:rsidRPr="00413B83">
        <w:t>после троекратного объявления начальной цены предмета аукциона ни один из участников не заявил о своем намерении приобрести предмет ау</w:t>
      </w:r>
      <w:r w:rsidRPr="00413B83">
        <w:t>к</w:t>
      </w:r>
      <w:r w:rsidRPr="00413B83">
        <w:t>циона по начальной цене.</w:t>
      </w:r>
    </w:p>
    <w:p w14:paraId="579C040E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7</w:t>
      </w:r>
      <w:r w:rsidRPr="00413B83">
        <w:t>. В случае, если аукцион признан несостоявшимся по причине участия менее двух уч</w:t>
      </w:r>
      <w:r w:rsidRPr="00413B83">
        <w:t>а</w:t>
      </w:r>
      <w:r w:rsidRPr="00413B83">
        <w:t>стников, единственный участник аукциона не позднее чем через десять дней после дня проведения аукциона вправе з</w:t>
      </w:r>
      <w:r w:rsidRPr="00413B83">
        <w:t>а</w:t>
      </w:r>
      <w:r w:rsidRPr="00413B83">
        <w:t xml:space="preserve">ключить договор на размещение нестационарного торгового объекта (далее договор), а администрация </w:t>
      </w:r>
      <w:r w:rsidRPr="00413B83">
        <w:rPr>
          <w:lang w:eastAsia="zh-CN"/>
        </w:rPr>
        <w:t>Урмарского городского</w:t>
      </w:r>
      <w:r w:rsidRPr="00413B83">
        <w:rPr>
          <w:noProof/>
        </w:rPr>
        <w:t xml:space="preserve"> поселения Урмарского района</w:t>
      </w:r>
      <w:r w:rsidRPr="00413B83">
        <w:t xml:space="preserve"> обязана заключить договор с единственным учас</w:t>
      </w:r>
      <w:r w:rsidRPr="00413B83">
        <w:t>т</w:t>
      </w:r>
      <w:r w:rsidRPr="00413B83">
        <w:t>ником аукциона по начальной цене аукциона.</w:t>
      </w:r>
    </w:p>
    <w:p w14:paraId="1754728B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2.1</w:t>
      </w:r>
      <w:r>
        <w:t>8</w:t>
      </w:r>
      <w:r w:rsidRPr="00413B83">
        <w:t>. Организатор аукциона в случаях, если аукцион был признан н</w:t>
      </w:r>
      <w:r w:rsidRPr="00413B83">
        <w:t>е</w:t>
      </w:r>
      <w:r w:rsidRPr="00413B83">
        <w:t>состоявшимся либо не был заключен договор с единственным участн</w:t>
      </w:r>
      <w:r w:rsidRPr="00413B83">
        <w:t>и</w:t>
      </w:r>
      <w:r w:rsidRPr="00413B83">
        <w:t>ком аукциона, вправе объявить о проведении повторного аукци</w:t>
      </w:r>
      <w:r w:rsidRPr="00413B83">
        <w:t>о</w:t>
      </w:r>
      <w:r w:rsidRPr="00413B83">
        <w:t>на. При проведении повторного аукциона могут быть изменены условия аукциона.</w:t>
      </w:r>
    </w:p>
    <w:p w14:paraId="1DBAEFBA" w14:textId="77777777" w:rsidR="00771D3B" w:rsidRPr="00413B83" w:rsidRDefault="00771D3B" w:rsidP="00771D3B">
      <w:pPr>
        <w:pStyle w:val="a8"/>
        <w:ind w:firstLine="706"/>
        <w:jc w:val="both"/>
      </w:pPr>
      <w:r w:rsidRPr="00413B83">
        <w:t>2.</w:t>
      </w:r>
      <w:r>
        <w:t>19</w:t>
      </w:r>
      <w:r w:rsidRPr="00413B83">
        <w:t>. Информация о результатах аукциона публикуется организат</w:t>
      </w:r>
      <w:r w:rsidRPr="00413B83">
        <w:t>о</w:t>
      </w:r>
      <w:r w:rsidRPr="00413B83">
        <w:t xml:space="preserve">ром аукциона в </w:t>
      </w:r>
      <w:r w:rsidRPr="00413B83">
        <w:lastRenderedPageBreak/>
        <w:t>течение трех дней со дня подписания протокола о результатах аукциона на официальном сайте администр</w:t>
      </w:r>
      <w:r w:rsidRPr="00413B83">
        <w:t>а</w:t>
      </w:r>
      <w:r w:rsidRPr="00413B83">
        <w:t>ции.</w:t>
      </w:r>
    </w:p>
    <w:p w14:paraId="278B7303" w14:textId="77777777" w:rsidR="00771D3B" w:rsidRPr="00413B83" w:rsidRDefault="00771D3B" w:rsidP="00771D3B">
      <w:pPr>
        <w:pStyle w:val="a8"/>
        <w:jc w:val="both"/>
      </w:pPr>
    </w:p>
    <w:p w14:paraId="7045610F" w14:textId="77777777" w:rsidR="00771D3B" w:rsidRPr="00413B83" w:rsidRDefault="00771D3B" w:rsidP="00EB6EB3">
      <w:pPr>
        <w:pStyle w:val="a8"/>
        <w:ind w:firstLine="706"/>
        <w:jc w:val="both"/>
      </w:pPr>
    </w:p>
    <w:p w14:paraId="055944A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F9CF" w14:textId="08C5E64E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42"/>
      <w:bookmarkEnd w:id="3"/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заключения договора на право размещения нестационарного торгового </w:t>
      </w:r>
      <w:proofErr w:type="gramStart"/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 </w:t>
      </w:r>
      <w:r w:rsidRPr="009116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реализации преимущественного права</w:t>
      </w:r>
    </w:p>
    <w:p w14:paraId="7C9B620C" w14:textId="77777777" w:rsidR="00911683" w:rsidRPr="00911683" w:rsidRDefault="00911683" w:rsidP="009116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D5D1E" w14:textId="3BC2F0A0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hyperlink r:id="rId9" w:anchor="Par40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на право размещения нестационарного торгового объекта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преимущественного права (приложение № 5 к настоящему Положению) от владельца ранее установленного нестационарного торгового объекта подается 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 в письменной форме.</w:t>
      </w:r>
    </w:p>
    <w:p w14:paraId="4BBA445B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документ, подтверждающий законность предыдущего периода размещения нестационарного торгового объекта.</w:t>
      </w:r>
    </w:p>
    <w:p w14:paraId="43DD25A9" w14:textId="5761FE0C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 в течение 5 рабочих дней с даты регистрации заявления проверяет полноту и достоверность представленных документов, а также отсутствие у заявителя задолженности по оплате за пользование земельным участком, на котором расположен нестационарный торговый объект;</w:t>
      </w:r>
    </w:p>
    <w:p w14:paraId="15FA8CA1" w14:textId="12E00DEF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3.3.При  наличии  документов, соответствующих установленным требованиям,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</w:t>
      </w:r>
      <w:hyperlink r:id="rId10" w:anchor="Par439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размещения нестационарного торгового 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преимущественного права (далее договор) (приложение № 6 к настоящему Положению).</w:t>
      </w:r>
    </w:p>
    <w:p w14:paraId="47F1B3DC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Владелец нестационарного торгового объекта, имеющий преимущественное право на заключение договора, обязан до подписания договора произвести оплату приобретаемого права на заключение договора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согласно Приложению №1 настоящего Положения.</w:t>
      </w:r>
    </w:p>
    <w:p w14:paraId="4417931F" w14:textId="77777777" w:rsidR="00911683" w:rsidRPr="00911683" w:rsidRDefault="00911683" w:rsidP="009116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59"/>
      <w:bookmarkEnd w:id="4"/>
    </w:p>
    <w:p w14:paraId="18ABBD9E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11683" w:rsidRPr="00911683" w14:paraId="66E10E88" w14:textId="77777777" w:rsidTr="00911683">
        <w:trPr>
          <w:trHeight w:val="120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0F96284C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14:paraId="0E94B38B" w14:textId="2060074A" w:rsidR="00911683" w:rsidRPr="00911683" w:rsidRDefault="00911683" w:rsidP="00911683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</w:t>
            </w: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порядку размещения нестационарных торговых </w:t>
            </w:r>
            <w:proofErr w:type="gramStart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объектов  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</w:t>
            </w:r>
            <w:proofErr w:type="gramEnd"/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Кудеснерского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сельского поселения Урмарского  района</w:t>
            </w:r>
          </w:p>
          <w:p w14:paraId="79B89D5B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A799F4D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2F7752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919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FFBF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21AF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11683">
        <w:rPr>
          <w:rFonts w:ascii="Times New Roman" w:eastAsia="Calibri" w:hAnsi="Times New Roman" w:cs="Times New Roman"/>
          <w:bCs/>
        </w:rPr>
        <w:t>МЕТОДИКА</w:t>
      </w:r>
    </w:p>
    <w:p w14:paraId="0440F5E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11683">
        <w:rPr>
          <w:rFonts w:ascii="Times New Roman" w:eastAsia="Calibri" w:hAnsi="Times New Roman" w:cs="Times New Roman"/>
          <w:bCs/>
        </w:rPr>
        <w:t>ОПРЕДЕЛЕНИЯ РАЗМЕРА ПЛАТЫ ЗА ПРАВО РАЗМЕЩЕНИЯ НЕСТАЦИОНАРНЫХ</w:t>
      </w:r>
    </w:p>
    <w:p w14:paraId="4B25A083" w14:textId="07C3B423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11683">
        <w:rPr>
          <w:rFonts w:ascii="Times New Roman" w:eastAsia="Calibri" w:hAnsi="Times New Roman" w:cs="Times New Roman"/>
          <w:bCs/>
        </w:rPr>
        <w:t xml:space="preserve">ТОРГОВЫХ ОБЪЕКТОВ НА ТЕРРИТОРИИ </w:t>
      </w:r>
      <w:proofErr w:type="gramStart"/>
      <w:r>
        <w:rPr>
          <w:rFonts w:ascii="Times New Roman" w:eastAsia="Calibri" w:hAnsi="Times New Roman" w:cs="Times New Roman"/>
          <w:bCs/>
        </w:rPr>
        <w:t>КУДЕСНЕРСКОГО</w:t>
      </w:r>
      <w:r w:rsidRPr="00911683">
        <w:rPr>
          <w:rFonts w:ascii="Times New Roman" w:eastAsia="Calibri" w:hAnsi="Times New Roman" w:cs="Times New Roman"/>
          <w:bCs/>
        </w:rPr>
        <w:t xml:space="preserve">  СЕЛЬСКОГО</w:t>
      </w:r>
      <w:proofErr w:type="gramEnd"/>
      <w:r w:rsidRPr="00911683">
        <w:rPr>
          <w:rFonts w:ascii="Times New Roman" w:eastAsia="Calibri" w:hAnsi="Times New Roman" w:cs="Times New Roman"/>
          <w:bCs/>
        </w:rPr>
        <w:t xml:space="preserve"> ПОСЕЛЕНИЯ УРМАРСКОГО  РАЙОНА</w:t>
      </w:r>
    </w:p>
    <w:p w14:paraId="7D8BB16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320D6B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1. Плата за право размещения НТО определяется по следующей формуле:</w:t>
      </w:r>
    </w:p>
    <w:p w14:paraId="4DDAFE4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9E01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56B04FA" wp14:editId="65AAB0BA">
            <wp:extent cx="2333625" cy="428625"/>
            <wp:effectExtent l="0" t="0" r="0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F73E6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sz w:val="24"/>
          <w:szCs w:val="24"/>
        </w:rPr>
        <w:t>где:</w:t>
      </w:r>
    </w:p>
    <w:p w14:paraId="7F20EF8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604ABB77" wp14:editId="2E06B3A6">
            <wp:extent cx="400050" cy="2000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3">
        <w:rPr>
          <w:rFonts w:ascii="Times New Roman" w:eastAsia="Calibri" w:hAnsi="Times New Roman" w:cs="Times New Roman"/>
          <w:sz w:val="24"/>
          <w:szCs w:val="24"/>
        </w:rPr>
        <w:t xml:space="preserve"> - плата за размещение объекта;</w:t>
      </w:r>
    </w:p>
    <w:p w14:paraId="2D91AAD1" w14:textId="79E3950C" w:rsidR="00911683" w:rsidRPr="00911683" w:rsidRDefault="00911683" w:rsidP="00911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226C4F7" wp14:editId="345F1385">
            <wp:extent cx="400050" cy="200025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удельного показателя кадастровой стоимости земель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 в разрезе кадастровых кварталов, согласно </w:t>
      </w:r>
      <w:hyperlink r:id="rId14" w:history="1">
        <w:r w:rsidRPr="0091168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постановлению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27.09.2013 N 396 "Об утверждении результатов государственной кадастровой оценки земель населенных пунктов на территории Чувашской Республики";</w:t>
      </w:r>
    </w:p>
    <w:p w14:paraId="4852E42C" w14:textId="07082D37" w:rsidR="00911683" w:rsidRPr="00911683" w:rsidRDefault="00911683" w:rsidP="00911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К1 - процент от кадастровой стоимости арендуемого земельного участка, равный налоговой ставке земельного налога, утвержденной </w:t>
      </w:r>
      <w:hyperlink r:id="rId15" w:history="1">
        <w:r w:rsidRPr="0091168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решением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Урмарского  района;</w:t>
      </w:r>
    </w:p>
    <w:p w14:paraId="2F085A6E" w14:textId="77777777" w:rsidR="00911683" w:rsidRPr="00911683" w:rsidRDefault="00911683" w:rsidP="00911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К2 = 3,5 - коэффициент, характеризующий вид разрешенного использования арендуемого земельного участка, утвержденный </w:t>
      </w:r>
      <w:hyperlink r:id="rId16" w:history="1">
        <w:r w:rsidRPr="0091168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постановлением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19.06.2006 N 148;</w:t>
      </w:r>
    </w:p>
    <w:p w14:paraId="6E81FDC2" w14:textId="31210549" w:rsidR="00911683" w:rsidRPr="00911683" w:rsidRDefault="00911683" w:rsidP="00911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К3 - коэффициент, корректирующий доходность местных бюджетов утвержденный </w:t>
      </w:r>
      <w:hyperlink r:id="rId17" w:history="1">
        <w:r w:rsidRPr="0091168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решением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района;</w:t>
      </w:r>
    </w:p>
    <w:p w14:paraId="0BF0E67A" w14:textId="77777777" w:rsidR="00911683" w:rsidRPr="00911683" w:rsidRDefault="00911683" w:rsidP="009116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земельного участка, занимаемая объектом (</w:t>
      </w:r>
      <w:proofErr w:type="spellStart"/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3C6987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3E7C9C59" wp14:editId="4D86E3AA">
            <wp:extent cx="285750" cy="219075"/>
            <wp:effectExtent l="0" t="0" r="0" b="9525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3">
        <w:rPr>
          <w:rFonts w:ascii="Times New Roman" w:eastAsia="Calibri" w:hAnsi="Times New Roman" w:cs="Times New Roman"/>
          <w:sz w:val="24"/>
          <w:szCs w:val="24"/>
        </w:rPr>
        <w:t xml:space="preserve"> - срок договора, период размещения объекта, (месяцев);</w:t>
      </w:r>
    </w:p>
    <w:p w14:paraId="64D48F6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683">
        <w:rPr>
          <w:rFonts w:ascii="Times New Roman" w:eastAsia="Calibri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4AD8C8B9" wp14:editId="7999447C">
            <wp:extent cx="200025" cy="190500"/>
            <wp:effectExtent l="0" t="0" r="9525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3">
        <w:rPr>
          <w:rFonts w:ascii="Times New Roman" w:eastAsia="Calibri" w:hAnsi="Times New Roman" w:cs="Times New Roman"/>
          <w:sz w:val="24"/>
          <w:szCs w:val="24"/>
        </w:rPr>
        <w:t xml:space="preserve"> - показатель, учитывающий количество месяцев в году.</w:t>
      </w:r>
    </w:p>
    <w:p w14:paraId="498F6C9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46B45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0C69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E908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B5B7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FD42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3A5E0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6943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152CF" w14:textId="4D742A92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14:paraId="0A328BA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4E90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B829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D894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8D3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B57F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96DA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5760" w14:textId="77777777" w:rsidR="00911683" w:rsidRPr="00911683" w:rsidRDefault="00911683" w:rsidP="00911683">
      <w:pPr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42C1A2F7" w14:textId="77777777" w:rsidR="00911683" w:rsidRPr="00911683" w:rsidRDefault="00911683" w:rsidP="00911683">
      <w:pPr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размещения </w:t>
      </w:r>
    </w:p>
    <w:p w14:paraId="1995B434" w14:textId="77777777" w:rsidR="00911683" w:rsidRPr="00911683" w:rsidRDefault="00911683" w:rsidP="00911683">
      <w:pPr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нестационарных торговых объектов  </w:t>
      </w:r>
    </w:p>
    <w:p w14:paraId="1F2EDEFF" w14:textId="29338BC7" w:rsidR="00911683" w:rsidRPr="00911683" w:rsidRDefault="00911683" w:rsidP="00911683">
      <w:pPr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</w:t>
      </w:r>
    </w:p>
    <w:p w14:paraId="642DA7A3" w14:textId="77777777" w:rsidR="00911683" w:rsidRPr="00911683" w:rsidRDefault="00911683" w:rsidP="00911683">
      <w:pPr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поселения Урмарского  района</w:t>
      </w:r>
    </w:p>
    <w:p w14:paraId="46851199" w14:textId="77777777" w:rsidR="00911683" w:rsidRPr="00911683" w:rsidRDefault="00911683" w:rsidP="00911683">
      <w:pPr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A00FE4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913D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(заполняется индивидуальным                                                                                      предпринимателем)</w:t>
      </w:r>
    </w:p>
    <w:p w14:paraId="29EACB6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97C3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96"/>
      <w:bookmarkEnd w:id="6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86F2F5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приобретению права на заключение договора</w:t>
      </w:r>
    </w:p>
    <w:p w14:paraId="6C78AD0B" w14:textId="67A811C2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торгового объекта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</w:p>
    <w:p w14:paraId="6C9369E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33E0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E79E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7DFD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</w:t>
      </w:r>
    </w:p>
    <w:p w14:paraId="7BF3598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индивидуального предпринимателя, подавшего заявку)</w:t>
      </w:r>
    </w:p>
    <w:p w14:paraId="41BD834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E6122E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№ свидетельства о государственной регистрации ИП)</w:t>
      </w:r>
    </w:p>
    <w:p w14:paraId="0F853DB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DF6C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по адресу: ________________________________________________________________________________</w:t>
      </w:r>
    </w:p>
    <w:p w14:paraId="181184A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31A589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__________________________________________________________________.</w:t>
      </w:r>
    </w:p>
    <w:p w14:paraId="54C4E6C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деятельности объекта)</w:t>
      </w:r>
    </w:p>
    <w:p w14:paraId="20D739C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аукциона и порядком проведения аукциона ознакомлен(а) и согласен(а).</w:t>
      </w:r>
    </w:p>
    <w:p w14:paraId="7BD0C2C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результатах аукциона прошу сообщить по адресу:</w:t>
      </w:r>
    </w:p>
    <w:p w14:paraId="12CC9E8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EE9E22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D96C95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__________________________________________________________________</w:t>
      </w:r>
    </w:p>
    <w:p w14:paraId="1CB6E52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года          _______________________________</w:t>
      </w:r>
    </w:p>
    <w:p w14:paraId="2F81B4D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(подпись, ФИО)</w:t>
      </w:r>
    </w:p>
    <w:p w14:paraId="1E03E51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776C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__________________________________________________________________</w:t>
      </w:r>
    </w:p>
    <w:p w14:paraId="00153DB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лица, принявшего документы)</w:t>
      </w:r>
    </w:p>
    <w:p w14:paraId="49EE360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B977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20___ года             ____________________________</w:t>
      </w:r>
    </w:p>
    <w:p w14:paraId="360F81E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</w:t>
      </w:r>
    </w:p>
    <w:p w14:paraId="0BF87A6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11683" w:rsidRPr="00911683" w14:paraId="7AD0ECDB" w14:textId="77777777" w:rsidTr="0091168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567C8D52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6C758C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14:paraId="01E672ED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порядку</w:t>
            </w:r>
            <w:proofErr w:type="gramEnd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размещения </w:t>
            </w:r>
          </w:p>
          <w:p w14:paraId="00D39344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нестационарных торговых объектов  </w:t>
            </w:r>
          </w:p>
          <w:p w14:paraId="4FC54EC7" w14:textId="5D9DF364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Кудеснерского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сельского</w:t>
            </w:r>
          </w:p>
          <w:p w14:paraId="5F6C062C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поселения Урмарского  района</w:t>
            </w:r>
          </w:p>
          <w:p w14:paraId="4E35A392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E6DCF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юридическим лицом)</w:t>
      </w:r>
    </w:p>
    <w:p w14:paraId="04B69F4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3EBC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42"/>
      <w:bookmarkEnd w:id="7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4D9043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приобретению права на заключение договора</w:t>
      </w:r>
    </w:p>
    <w:p w14:paraId="048474ED" w14:textId="038687F5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торгового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</w:p>
    <w:p w14:paraId="688656A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6309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14:paraId="5C73AD8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подавшего заявку)</w:t>
      </w:r>
    </w:p>
    <w:p w14:paraId="5CD4301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________________________________________________________________________________</w:t>
      </w:r>
    </w:p>
    <w:p w14:paraId="5345B05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(орган, зарегистрировавший юридическое лицо)</w:t>
      </w:r>
    </w:p>
    <w:p w14:paraId="338B704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юридическому адресу: _______________________________________________________________________________,</w:t>
      </w:r>
    </w:p>
    <w:p w14:paraId="075EDF6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выдано свидетельство: серия __________ № ______________________,</w:t>
      </w:r>
    </w:p>
    <w:p w14:paraId="5DAD788A" w14:textId="1FF76E6B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14:paraId="62F6253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7FE9C1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DB670B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__________________________________________________________________.</w:t>
      </w:r>
    </w:p>
    <w:p w14:paraId="7B0F51A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деятельности объекта)</w:t>
      </w:r>
    </w:p>
    <w:p w14:paraId="15BC7BD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аукциона и порядком проведения аукциона ознакомлен(а) и согласен(а).</w:t>
      </w:r>
    </w:p>
    <w:p w14:paraId="7AE6B60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результатах аукциона прошу сообщить по адресу: ____________________________</w:t>
      </w:r>
    </w:p>
    <w:p w14:paraId="7FE2E23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E0E565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31E2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__________________________________________________________________</w:t>
      </w:r>
    </w:p>
    <w:p w14:paraId="437869C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руководителя: _________________________________________________________________________________</w:t>
      </w:r>
    </w:p>
    <w:p w14:paraId="7D7EC63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629E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года            ________________________________</w:t>
      </w:r>
    </w:p>
    <w:p w14:paraId="4D02768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(подпись, ФИО)</w:t>
      </w:r>
    </w:p>
    <w:p w14:paraId="728A23A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__________________________________________________________________</w:t>
      </w:r>
    </w:p>
    <w:p w14:paraId="3886E59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лица, принявшего документы)</w:t>
      </w:r>
    </w:p>
    <w:p w14:paraId="2A22613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 года               ____________________________</w:t>
      </w:r>
    </w:p>
    <w:p w14:paraId="03F85DE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</w:p>
    <w:p w14:paraId="6A369E4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11683" w:rsidRPr="00911683" w14:paraId="30C1BD24" w14:textId="77777777" w:rsidTr="0091168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8F87F27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  <w:p w14:paraId="0032C859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порядку</w:t>
            </w:r>
            <w:proofErr w:type="gramEnd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размещения </w:t>
            </w:r>
          </w:p>
          <w:p w14:paraId="373CB541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нестационарных торговых объектов  </w:t>
            </w:r>
          </w:p>
          <w:p w14:paraId="2F025DED" w14:textId="14BEFA8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Кудеснерского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сельского</w:t>
            </w:r>
          </w:p>
          <w:p w14:paraId="08DA10C3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поселения Урмарского  района</w:t>
            </w:r>
          </w:p>
        </w:tc>
      </w:tr>
    </w:tbl>
    <w:p w14:paraId="1381DFA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EC24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FA36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14:paraId="74CCE4F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права на размещение нестационарного торгового объекта</w:t>
      </w:r>
    </w:p>
    <w:p w14:paraId="737887D5" w14:textId="27658633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</w:p>
    <w:p w14:paraId="71FFE7E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01D3A" w14:textId="4DA05DF1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Кудеснеры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20__ года  </w:t>
      </w:r>
    </w:p>
    <w:p w14:paraId="451DF63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C5688" w14:textId="53FF9C35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района, именуемая в дальнейшем Администрация, в лице _________________________________________________, </w:t>
      </w:r>
    </w:p>
    <w:p w14:paraId="2210729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(ФИО)</w:t>
      </w:r>
    </w:p>
    <w:p w14:paraId="6C08631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действующего(й) на основании _____________________________, с одной стороны, и ________________________________________________________________________________,</w:t>
      </w:r>
    </w:p>
    <w:p w14:paraId="18CD721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ФИО индивидуального предпринимателя)</w:t>
      </w:r>
    </w:p>
    <w:p w14:paraId="1C9DEFC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__________________________________________________________________________,</w:t>
      </w:r>
    </w:p>
    <w:p w14:paraId="7204C44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</w:p>
    <w:p w14:paraId="3BEB35A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______________________________,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Участник, с другой стороны, при совместном упоминании стороны заключили настоящий Договор о нижеследующем.</w:t>
      </w:r>
    </w:p>
    <w:p w14:paraId="497641B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06"/>
      <w:bookmarkEnd w:id="8"/>
    </w:p>
    <w:p w14:paraId="58C4524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7E95B2E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08"/>
      <w:bookmarkEnd w:id="9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Участнику право на размещение нестационарного торгового объекта (далее объект)</w:t>
      </w:r>
    </w:p>
    <w:p w14:paraId="4FFE2A5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64AAB8A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оказания услуг)</w:t>
      </w:r>
    </w:p>
    <w:p w14:paraId="047A93D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торговой деятельности _________________________________________________________________________________</w:t>
      </w:r>
    </w:p>
    <w:p w14:paraId="6D87842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(реализуемая продукция)</w:t>
      </w:r>
    </w:p>
    <w:p w14:paraId="02E5206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________________________________________________________________________</w:t>
      </w:r>
    </w:p>
    <w:p w14:paraId="2B1932F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14:paraId="00C5DB6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 по _________ 20__ года.</w:t>
      </w:r>
    </w:p>
    <w:p w14:paraId="417E871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219B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2.Права и обязанности сторон</w:t>
      </w:r>
    </w:p>
    <w:p w14:paraId="0771269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E1858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Осуществляет контроль за выполнением требований к эксплуатации объекта, установленных настоящим Договором.</w:t>
      </w:r>
    </w:p>
    <w:p w14:paraId="58CB973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Инициирует демонтаж нестационарного торгового объекта при нарушении (невыполнении) Участником обязательств, предусмотренных </w:t>
      </w:r>
      <w:hyperlink r:id="rId20" w:anchor="Par338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за счет Участника.</w:t>
      </w:r>
    </w:p>
    <w:p w14:paraId="1575857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55"/>
      <w:bookmarkEnd w:id="10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 имеет право разместить объект по адресу в соответствии со схемой размещения нестационарных торговых объектов.</w:t>
      </w:r>
    </w:p>
    <w:p w14:paraId="588D96D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Участник обязуется:</w:t>
      </w:r>
    </w:p>
    <w:p w14:paraId="4AE1B9C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Приступить к дальнейшей эксплуатации объекта после заключения договоров на уборку территории, вывоз твердых бытовых и жидких отходов, потребление энергоресурсов.</w:t>
      </w:r>
    </w:p>
    <w:p w14:paraId="50A1268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Использовать объект по назначению, указанному в </w:t>
      </w:r>
      <w:hyperlink r:id="rId21" w:anchor="Par461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без права передачи его третьему лицу.</w:t>
      </w:r>
    </w:p>
    <w:p w14:paraId="514F6F4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14:paraId="6F6C715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Освободить занимаемую территорию от конструкций и привести ее в первоначальное состояние в течение пяти календарных дней:</w:t>
      </w:r>
    </w:p>
    <w:p w14:paraId="2E444D0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действия настоящего Договора;</w:t>
      </w:r>
    </w:p>
    <w:p w14:paraId="0D4BD14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настоящего Договора по инициативе Заявителя или Администрации в соответствии с </w:t>
      </w:r>
      <w:hyperlink r:id="rId22" w:anchor="Par501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30A91C9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875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3.Расторжение Договора</w:t>
      </w:r>
    </w:p>
    <w:p w14:paraId="28E8426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10 календарных дней, в случаях:</w:t>
      </w:r>
    </w:p>
    <w:p w14:paraId="7147F25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Участником пунктов </w:t>
      </w:r>
      <w:hyperlink r:id="rId23" w:anchor="Par342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- </w:t>
      </w:r>
      <w:hyperlink r:id="rId24" w:anchor="Par34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2.3.4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Договора;</w:t>
      </w:r>
    </w:p>
    <w:p w14:paraId="70289851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осуществления торговой деятельности владельцем нестационарного торгового объекта;</w:t>
      </w:r>
    </w:p>
    <w:p w14:paraId="60685BED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14:paraId="1E9B80B8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 уличного освещения и (или) прочих муниципальных объектов, в том числе остановок  общественного  транспорта; оборудованием бордюров, строительством проездов и (или) проездных путей и для иных целей, определенных в соответствии с документацией о планировке территорий; при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14:paraId="4EA5E2B7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нарушении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условий договора:</w:t>
      </w:r>
    </w:p>
    <w:p w14:paraId="4CF77872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заявленного типа и специализации нестационарного торгового объекта;</w:t>
      </w:r>
    </w:p>
    <w:p w14:paraId="4CD491D1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по договору третьим лицам;</w:t>
      </w:r>
    </w:p>
    <w:p w14:paraId="11EAE80E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 или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самовольное  изменение  места размещения нестационарного торгового объекта утвержденной схеме размещения нестационарных торговых объектов;</w:t>
      </w:r>
    </w:p>
    <w:p w14:paraId="7BD50E7D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заключение договора на вывоз мусора и иных отходов от нестационарного торгового объекта.</w:t>
      </w:r>
    </w:p>
    <w:p w14:paraId="3799D47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14:paraId="237880D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выявления фактов, указанных в абзацах третьем и пятом </w:t>
      </w:r>
      <w:hyperlink r:id="rId25" w:anchor="Par50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и наступления случая, указанного в абзаце четвертом </w:t>
      </w:r>
      <w:hyperlink r:id="rId26" w:anchor="Par50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вопрос о досрочном расторжении договора рассматривается Администрацией, о чем Участник уведомляется в течение 10 календарных дней в письменной форме.</w:t>
      </w:r>
    </w:p>
    <w:p w14:paraId="60F4A1D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принятии решения о досрочном прекращении настоящего Договора Администрация вручает Участнику уведомление о расторжении настоящего Договора и сроке демонтажа нестационарного торгового объекта.</w:t>
      </w:r>
    </w:p>
    <w:p w14:paraId="23F24D4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 в 5-дневный срок после получения уведомления обязан прекратить функционирование нестационарного торгового объекта.</w:t>
      </w:r>
    </w:p>
    <w:p w14:paraId="218AE31A" w14:textId="77777777" w:rsidR="00911683" w:rsidRPr="00911683" w:rsidRDefault="00911683" w:rsidP="00911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Функционирование нестационарного торгового объекта по истечении установленного срока считается незаконным, за что Участник несет ответственность в соответствии с действующим законодательством Российской Федерации.</w:t>
      </w:r>
    </w:p>
    <w:p w14:paraId="6837152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досрочном прекращении настоящего Договора владелец Участник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территории.</w:t>
      </w:r>
    </w:p>
    <w:p w14:paraId="2433D95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неисполнении Участником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Федерации.</w:t>
      </w:r>
    </w:p>
    <w:p w14:paraId="74263D8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D96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14:paraId="402B265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0DC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57"/>
      <w:bookmarkEnd w:id="11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6FFB94C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2186A2A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451BBCB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Договор составлен в двух экземплярах, имеющих одинаковую юридическую силу.</w:t>
      </w:r>
    </w:p>
    <w:p w14:paraId="5423613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62"/>
      <w:bookmarkEnd w:id="12"/>
    </w:p>
    <w:p w14:paraId="6C565A2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адреса, реквизиты и подписи сторон</w:t>
      </w:r>
    </w:p>
    <w:p w14:paraId="47CE0AD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4683F28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Администрация                                                         Участник</w:t>
      </w:r>
    </w:p>
    <w:p w14:paraId="4EFC76B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              _____________________________</w:t>
      </w:r>
    </w:p>
    <w:p w14:paraId="466246F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подпись (расшифровка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подпись (расшифровка подписи)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11683" w:rsidRPr="00911683" w14:paraId="6066175C" w14:textId="77777777" w:rsidTr="0091168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BA3E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637D8A3A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порядку</w:t>
            </w:r>
            <w:proofErr w:type="gramEnd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размещения </w:t>
            </w:r>
          </w:p>
          <w:p w14:paraId="622CCBA1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нестационарных торговых объектов  </w:t>
            </w:r>
          </w:p>
          <w:p w14:paraId="6B8CC34A" w14:textId="14A0B0C6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Кудеснерского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сельского</w:t>
            </w:r>
          </w:p>
          <w:p w14:paraId="122CEBFE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поселения Урмарского  района</w:t>
            </w:r>
          </w:p>
        </w:tc>
      </w:tr>
    </w:tbl>
    <w:p w14:paraId="479B051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EB63F" w14:textId="6A3EBD39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24A8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 района</w:t>
      </w:r>
      <w:proofErr w:type="gramEnd"/>
    </w:p>
    <w:p w14:paraId="34320D5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</w:t>
      </w:r>
    </w:p>
    <w:p w14:paraId="7F3766F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(наименование юридического лица,</w:t>
      </w:r>
    </w:p>
    <w:p w14:paraId="0B76558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</w:t>
      </w:r>
    </w:p>
    <w:p w14:paraId="55BB9AE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ФИО индивидуального предпринимателя)</w:t>
      </w:r>
    </w:p>
    <w:p w14:paraId="19330DC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ИНН: _______________________________                                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ОГРН:_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6A44E0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юридический адрес: ___________________</w:t>
      </w:r>
    </w:p>
    <w:p w14:paraId="785342D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</w:t>
      </w:r>
    </w:p>
    <w:p w14:paraId="2D38A83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номер телефона: ______________________</w:t>
      </w:r>
    </w:p>
    <w:p w14:paraId="719B46E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B4FA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403"/>
      <w:bookmarkEnd w:id="13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02C783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на размещение нестационарного</w:t>
      </w:r>
    </w:p>
    <w:p w14:paraId="450BA945" w14:textId="62A0D674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преимущественного права</w:t>
      </w:r>
    </w:p>
    <w:p w14:paraId="6B69A21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504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«___» ___________ 20___ года</w:t>
      </w:r>
    </w:p>
    <w:p w14:paraId="387CDB7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BC510" w14:textId="4F4EE924" w:rsidR="00911683" w:rsidRPr="00911683" w:rsidRDefault="00911683" w:rsidP="00911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обследование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нестационарного торгового объекта и рассмотреть вопрос о заключении договора на право размещения нестационарного торгового 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района.</w:t>
      </w:r>
    </w:p>
    <w:p w14:paraId="5DC3BB1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торговый объект ___________________________________________________</w:t>
      </w:r>
    </w:p>
    <w:p w14:paraId="38EC8D9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(тип объекта)</w:t>
      </w:r>
    </w:p>
    <w:p w14:paraId="66008A7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DCD8C7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 (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 объекта: _________________________________________________________________________________</w:t>
      </w:r>
    </w:p>
    <w:p w14:paraId="11928DC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E557E8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объекта: ________________ кв. м.</w:t>
      </w:r>
    </w:p>
    <w:p w14:paraId="70E4EC1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14A4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__________________________________________________________________.</w:t>
      </w:r>
    </w:p>
    <w:p w14:paraId="78CA5FA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деятельности объекта)</w:t>
      </w:r>
    </w:p>
    <w:p w14:paraId="06C5554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года          _______________________________</w:t>
      </w:r>
    </w:p>
    <w:p w14:paraId="5B6642B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(подпись, ФИО)</w:t>
      </w:r>
    </w:p>
    <w:p w14:paraId="7D1A34D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A8F3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МП</w:t>
      </w:r>
    </w:p>
    <w:p w14:paraId="20064E1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CED7E2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принято: ____________________________________________________</w:t>
      </w:r>
    </w:p>
    <w:p w14:paraId="2E0C61F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14:paraId="2C16765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____г.   № ____________.</w:t>
      </w:r>
    </w:p>
    <w:p w14:paraId="74C6403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9832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31"/>
      <w:bookmarkEnd w:id="14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11683" w:rsidRPr="00911683" w14:paraId="663A7229" w14:textId="77777777" w:rsidTr="0091168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3A6CEEAB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</w:p>
          <w:p w14:paraId="000CEA1F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порядку</w:t>
            </w:r>
            <w:proofErr w:type="gramEnd"/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размещения </w:t>
            </w:r>
          </w:p>
          <w:p w14:paraId="0A7E4C21" w14:textId="77777777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1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нестационарных торговых объектов  </w:t>
            </w:r>
          </w:p>
          <w:p w14:paraId="2A3B4F8E" w14:textId="05407190" w:rsidR="00911683" w:rsidRPr="00911683" w:rsidRDefault="00911683" w:rsidP="00911683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Кудеснерского</w:t>
            </w: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сельского</w:t>
            </w:r>
          </w:p>
          <w:p w14:paraId="4067B93F" w14:textId="77777777" w:rsidR="00911683" w:rsidRPr="00911683" w:rsidRDefault="00911683" w:rsidP="00911683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поселения Урмарского  района</w:t>
            </w:r>
          </w:p>
        </w:tc>
      </w:tr>
    </w:tbl>
    <w:p w14:paraId="6B3A8BA6" w14:textId="77777777" w:rsidR="00911683" w:rsidRPr="00911683" w:rsidRDefault="00911683" w:rsidP="00911683">
      <w:pPr>
        <w:tabs>
          <w:tab w:val="left" w:pos="709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C49B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</w:t>
      </w:r>
    </w:p>
    <w:p w14:paraId="3274558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права на размещение нестационарного</w:t>
      </w:r>
    </w:p>
    <w:p w14:paraId="340225C3" w14:textId="0EEF5DE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proofErr w:type="gramEnd"/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сельского поселения Урмарского  района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преимущественного права</w:t>
      </w:r>
    </w:p>
    <w:p w14:paraId="516F7E2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6C57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1CA95" w14:textId="39A85EE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0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Кудеснеры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20_____ г </w:t>
      </w:r>
    </w:p>
    <w:p w14:paraId="48958EF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B9073" w14:textId="57F0CF15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Урмарского  района, именуемая в дальнейшем Администрация, в лице _________________________________________________,</w:t>
      </w:r>
    </w:p>
    <w:p w14:paraId="67014E0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(ФИО) </w:t>
      </w:r>
    </w:p>
    <w:p w14:paraId="381AB8C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Устава с одной стороны, и  _________________________________________________________________________________</w:t>
      </w:r>
    </w:p>
    <w:p w14:paraId="7430B05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ФИО индивидуального предпринимателя)</w:t>
      </w:r>
    </w:p>
    <w:p w14:paraId="0AEAF7D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___________________________________________________________________________,</w:t>
      </w:r>
    </w:p>
    <w:p w14:paraId="7331D58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</w:p>
    <w:p w14:paraId="59D99C9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____________________________, именуемый (</w:t>
      </w:r>
      <w:proofErr w:type="spell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Заявитель, с другой стороны, при совместном упоминании стороны, заключили настоящий Договор о нижеследующем.</w:t>
      </w:r>
    </w:p>
    <w:p w14:paraId="0C5A4DE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BCEC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59"/>
      <w:bookmarkEnd w:id="15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bookmarkStart w:id="16" w:name="Par461"/>
      <w:bookmarkEnd w:id="16"/>
    </w:p>
    <w:p w14:paraId="65E911D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Заявителю право на размещение нестационарного торгового объекта (далее объект)</w:t>
      </w:r>
    </w:p>
    <w:p w14:paraId="395E6C0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6640DB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оказания услуг)</w:t>
      </w:r>
    </w:p>
    <w:p w14:paraId="776FA50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торговой деятельности ____________________________________________</w:t>
      </w:r>
    </w:p>
    <w:p w14:paraId="111C207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F16645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(реализуемая продукция)</w:t>
      </w:r>
    </w:p>
    <w:p w14:paraId="1914927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________________________________________________________________________</w:t>
      </w:r>
    </w:p>
    <w:p w14:paraId="4544651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 (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 объекта)</w:t>
      </w:r>
    </w:p>
    <w:p w14:paraId="6BE7904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 по _________ 20__ года.</w:t>
      </w:r>
    </w:p>
    <w:p w14:paraId="2D96DAF8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B3A9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472"/>
      <w:bookmarkEnd w:id="17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2.Права и обязанности сторон</w:t>
      </w:r>
    </w:p>
    <w:p w14:paraId="39E31B7B" w14:textId="77777777" w:rsidR="00911683" w:rsidRPr="00911683" w:rsidRDefault="00911683" w:rsidP="00911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A1FDB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Осуществляет контроль за выполнением требований к эксплуатации объекта, установленных настоящим Договором.</w:t>
      </w:r>
    </w:p>
    <w:p w14:paraId="59906DD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Инициирует демонтаж нестационарного торгового объекта при нарушении (невыполнении) Заявителем обязательств, предусмотренных </w:t>
      </w:r>
      <w:hyperlink r:id="rId27" w:anchor="Par49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2.3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за счет Заявителя.</w:t>
      </w:r>
    </w:p>
    <w:p w14:paraId="14D2A8B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имеет право разместить объект по адресу в соответствии со схемой размещения нестационарных торговых объектов</w:t>
      </w:r>
      <w:bookmarkStart w:id="18" w:name="Par493"/>
      <w:bookmarkEnd w:id="18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9E9B7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 обязуется:</w:t>
      </w:r>
    </w:p>
    <w:p w14:paraId="0FBF062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Приступить к дальнейшей эксплуатации объекта после заключения договоров на уборку территории, вывоз твердых бытовых и жидких отходов, потребление энергоресурсов.</w:t>
      </w:r>
    </w:p>
    <w:p w14:paraId="2E5C3C5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Использовать объект по назначению, указанному в </w:t>
      </w:r>
      <w:hyperlink r:id="rId28" w:anchor="Par461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без права передачи его третьему лицу.</w:t>
      </w:r>
    </w:p>
    <w:p w14:paraId="2382DF1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14:paraId="6EB481B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Освободить занимаемую территорию от конструкций и привести ее в первоначальное состояние в течение пяти календарных дней:</w:t>
      </w:r>
    </w:p>
    <w:p w14:paraId="1DE22573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действия настоящего Договора;</w:t>
      </w:r>
    </w:p>
    <w:p w14:paraId="07C374F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настоящего Договора по инициативе Заявителя или Администрации в соответствии с </w:t>
      </w:r>
      <w:hyperlink r:id="rId29" w:anchor="Par501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7069CB9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501"/>
      <w:bookmarkEnd w:id="19"/>
    </w:p>
    <w:p w14:paraId="25B446BC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3.Расторжение Договора</w:t>
      </w:r>
      <w:bookmarkStart w:id="20" w:name="Par503"/>
      <w:bookmarkEnd w:id="20"/>
    </w:p>
    <w:p w14:paraId="100A5CE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Заявителя за 10 календарных дней, в случаях:</w:t>
      </w:r>
    </w:p>
    <w:p w14:paraId="789B1C7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Заявителем пунктов </w:t>
      </w:r>
      <w:hyperlink r:id="rId30" w:anchor="Par342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- </w:t>
      </w:r>
      <w:hyperlink r:id="rId31" w:anchor="Par34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2.3.4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Договора;</w:t>
      </w:r>
    </w:p>
    <w:p w14:paraId="71A0593F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осуществления торговой деятельности Заявителем;</w:t>
      </w:r>
    </w:p>
    <w:p w14:paraId="2F8CB981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представлению органов, осуществляющих государственные функции по контролю и надзору, решению судебных органов;</w:t>
      </w:r>
    </w:p>
    <w:p w14:paraId="44B547D4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 уличного освещения и (или) прочих муниципальных объектов, в том числе остановок  общественного  транспорта; оборудованием бордюров, строительством проездов и (или) проездных путей и для иных целей, определенных в соответствии с документацией о планировке территорий; при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14:paraId="7991722B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нарушении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следующих условий договора:</w:t>
      </w:r>
    </w:p>
    <w:p w14:paraId="5BD5D9E0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заявленного типа и специализации нестационарного торгового объекта;</w:t>
      </w:r>
    </w:p>
    <w:p w14:paraId="361442C3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по договору третьим лицам;</w:t>
      </w:r>
    </w:p>
    <w:p w14:paraId="42520B41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 или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самовольное  изменение  места размещения нестационарного торгового объекта утвержденной схеме размещения нестационарных торговых объектов;</w:t>
      </w:r>
    </w:p>
    <w:p w14:paraId="6086A357" w14:textId="77777777" w:rsidR="00911683" w:rsidRPr="00911683" w:rsidRDefault="00911683" w:rsidP="00911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заключение договора на вывоз мусора и иных отходов от нестационарного торгового объекта.</w:t>
      </w:r>
    </w:p>
    <w:p w14:paraId="28351B9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14:paraId="186F772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выявления фактов, указанных в абзацах третьем и пятом </w:t>
      </w:r>
      <w:hyperlink r:id="rId32" w:anchor="Par50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и наступления случая, указанного в абзаце четвертом </w:t>
      </w:r>
      <w:hyperlink r:id="rId33" w:anchor="Par503" w:tooltip="Ссылка на текущий документ" w:history="1">
        <w:r w:rsidRPr="00911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</w:t>
        </w:r>
      </w:hyperlink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вопрос о досрочном расторжении договора рассматривается Администрацией, о чем Заявитель уведомляется в течение 10 календарных дней в письменной форме.</w:t>
      </w:r>
    </w:p>
    <w:p w14:paraId="073AAEBF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объекта.</w:t>
      </w:r>
    </w:p>
    <w:p w14:paraId="714E82D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Заявитель в 5-дневный срок после получения уведомления обязан прекратить функционирование нестационарного торгового объекта.</w:t>
      </w:r>
    </w:p>
    <w:p w14:paraId="6BFF624D" w14:textId="77777777" w:rsidR="00911683" w:rsidRPr="00911683" w:rsidRDefault="00911683" w:rsidP="00911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Функционирование нестационарного торгового объекта по истечении установленного срока считается незаконным, за что Заявитель несет ответственность в соответствии с действующим законодательством Российской Федерации.</w:t>
      </w:r>
    </w:p>
    <w:p w14:paraId="3F6B144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территории.</w:t>
      </w:r>
    </w:p>
    <w:p w14:paraId="09F63F8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неисполнении Заявителем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Федерации.</w:t>
      </w:r>
    </w:p>
    <w:p w14:paraId="46EF5C41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176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519"/>
      <w:bookmarkEnd w:id="21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14:paraId="5C94E86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4EDD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к настоящему Договору действительны, если они внесены в письменной форме, оформлены дополнительными соглашениями и подписаны уполномоченными представителями сторон.</w:t>
      </w:r>
    </w:p>
    <w:p w14:paraId="6D4642CD" w14:textId="77777777" w:rsidR="00911683" w:rsidRPr="00911683" w:rsidRDefault="00911683" w:rsidP="00911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3B7D948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настоящим Договором, </w:t>
      </w: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регламентируются действующим законодательством Российской Федерации.</w:t>
      </w:r>
    </w:p>
    <w:p w14:paraId="5BB8DC95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Настоящий Договор составлен в двух экземплярах, имеющих одинаковую юридическую силу.</w:t>
      </w:r>
    </w:p>
    <w:p w14:paraId="5DF32787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595B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526"/>
      <w:bookmarkEnd w:id="22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>5.Юридические адреса, реквизиты и подписи сторон:</w:t>
      </w:r>
    </w:p>
    <w:p w14:paraId="43B0E6C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3322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DF78FF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A6DAA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ED6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19D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DD2C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CE04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                                                      Заявитель</w:t>
      </w:r>
    </w:p>
    <w:p w14:paraId="134513E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                    ____________________________   </w:t>
      </w:r>
    </w:p>
    <w:p w14:paraId="5C1883E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(расшифровка </w:t>
      </w:r>
      <w:proofErr w:type="gramStart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9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(расшифровка подписи)</w:t>
      </w:r>
    </w:p>
    <w:p w14:paraId="3388A3E9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4F292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547"/>
      <w:bookmarkEnd w:id="23"/>
    </w:p>
    <w:p w14:paraId="04DA851D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1543E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9BCE4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06606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6BCF0" w14:textId="77777777" w:rsidR="00911683" w:rsidRPr="00911683" w:rsidRDefault="00911683" w:rsidP="00911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08BAB" w14:textId="77777777" w:rsidR="00911683" w:rsidRDefault="00911683" w:rsidP="00695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14:paraId="3C34EEC3" w14:textId="08E7CD87" w:rsidR="007746E4" w:rsidRDefault="007746E4" w:rsidP="00695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14:paraId="0ADA42C8" w14:textId="7240A202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</w:p>
    <w:p w14:paraId="34941F23" w14:textId="317B57A9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</w:p>
    <w:p w14:paraId="4B41CC18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52EC62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3098B4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C7F3EF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27676E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5414E8" w14:textId="77777777" w:rsidR="00841065" w:rsidRPr="00773679" w:rsidRDefault="00841065" w:rsidP="00841065">
      <w:pPr>
        <w:spacing w:after="0" w:line="240" w:lineRule="auto"/>
        <w:ind w:firstLine="30"/>
        <w:rPr>
          <w:sz w:val="24"/>
          <w:szCs w:val="24"/>
        </w:rPr>
      </w:pPr>
    </w:p>
    <w:p w14:paraId="14F90EC9" w14:textId="77777777" w:rsidR="00841065" w:rsidRPr="00404A7E" w:rsidRDefault="00841065" w:rsidP="0084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065" w:rsidRPr="0040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63B"/>
    <w:multiLevelType w:val="multilevel"/>
    <w:tmpl w:val="7194CD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8"/>
    <w:rsid w:val="00001707"/>
    <w:rsid w:val="00070C95"/>
    <w:rsid w:val="00072DC9"/>
    <w:rsid w:val="00074B37"/>
    <w:rsid w:val="00097AE4"/>
    <w:rsid w:val="000A7E29"/>
    <w:rsid w:val="00112301"/>
    <w:rsid w:val="001409D5"/>
    <w:rsid w:val="001530EE"/>
    <w:rsid w:val="00170544"/>
    <w:rsid w:val="00186540"/>
    <w:rsid w:val="002303D4"/>
    <w:rsid w:val="00252B53"/>
    <w:rsid w:val="00281C31"/>
    <w:rsid w:val="002F4BA1"/>
    <w:rsid w:val="002F583F"/>
    <w:rsid w:val="00315091"/>
    <w:rsid w:val="003370BD"/>
    <w:rsid w:val="003617BB"/>
    <w:rsid w:val="003906A1"/>
    <w:rsid w:val="003C2F83"/>
    <w:rsid w:val="003D36B0"/>
    <w:rsid w:val="003E3BEF"/>
    <w:rsid w:val="00404A7E"/>
    <w:rsid w:val="00416386"/>
    <w:rsid w:val="00421DC3"/>
    <w:rsid w:val="00443898"/>
    <w:rsid w:val="004475EF"/>
    <w:rsid w:val="0045426E"/>
    <w:rsid w:val="00474CF8"/>
    <w:rsid w:val="004B7E65"/>
    <w:rsid w:val="004D1267"/>
    <w:rsid w:val="004E7ACC"/>
    <w:rsid w:val="005201A9"/>
    <w:rsid w:val="005A713C"/>
    <w:rsid w:val="0064177E"/>
    <w:rsid w:val="0067635D"/>
    <w:rsid w:val="00695829"/>
    <w:rsid w:val="006A1B36"/>
    <w:rsid w:val="006A6235"/>
    <w:rsid w:val="006A6FB5"/>
    <w:rsid w:val="006F38B8"/>
    <w:rsid w:val="00771D3B"/>
    <w:rsid w:val="007746E4"/>
    <w:rsid w:val="00776E66"/>
    <w:rsid w:val="007C1504"/>
    <w:rsid w:val="007C4F73"/>
    <w:rsid w:val="007E66D0"/>
    <w:rsid w:val="00841065"/>
    <w:rsid w:val="00845C71"/>
    <w:rsid w:val="008472BF"/>
    <w:rsid w:val="00910521"/>
    <w:rsid w:val="00911683"/>
    <w:rsid w:val="00937332"/>
    <w:rsid w:val="009A67F2"/>
    <w:rsid w:val="009B3363"/>
    <w:rsid w:val="009D0C9B"/>
    <w:rsid w:val="009F3BE9"/>
    <w:rsid w:val="00A63682"/>
    <w:rsid w:val="00A84A79"/>
    <w:rsid w:val="00AA2805"/>
    <w:rsid w:val="00B53F27"/>
    <w:rsid w:val="00BB4903"/>
    <w:rsid w:val="00BE35AF"/>
    <w:rsid w:val="00BE7BF0"/>
    <w:rsid w:val="00C048ED"/>
    <w:rsid w:val="00C07D4F"/>
    <w:rsid w:val="00C25A28"/>
    <w:rsid w:val="00C72BB9"/>
    <w:rsid w:val="00DB7EF7"/>
    <w:rsid w:val="00DF3593"/>
    <w:rsid w:val="00E255B1"/>
    <w:rsid w:val="00E45823"/>
    <w:rsid w:val="00EA4717"/>
    <w:rsid w:val="00EB6EB3"/>
    <w:rsid w:val="00EF6F2F"/>
    <w:rsid w:val="00F66D17"/>
    <w:rsid w:val="00FA4FBF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FCC"/>
  <w15:chartTrackingRefBased/>
  <w15:docId w15:val="{B0CA0F01-E9B3-4470-B017-C90EAC3F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D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65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01707"/>
    <w:rPr>
      <w:color w:val="0000FF"/>
      <w:u w:val="single"/>
    </w:rPr>
  </w:style>
  <w:style w:type="character" w:styleId="a7">
    <w:name w:val="Emphasis"/>
    <w:basedOn w:val="a0"/>
    <w:uiPriority w:val="20"/>
    <w:qFormat/>
    <w:rsid w:val="00001707"/>
    <w:rPr>
      <w:i/>
      <w:iCs/>
    </w:rPr>
  </w:style>
  <w:style w:type="paragraph" w:customStyle="1" w:styleId="s1">
    <w:name w:val="s_1"/>
    <w:basedOn w:val="a"/>
    <w:rsid w:val="0067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6E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01071D87C881A9A3F10F9D039D6985B6A76B438114FE04CF0663F8A1C114FD7D77ED8731F76048As5lBO" TargetMode="External"/><Relationship Id="rId12" Type="http://schemas.openxmlformats.org/officeDocument/2006/relationships/image" Target="media/image3.wmf"/><Relationship Id="rId17" Type="http://schemas.openxmlformats.org/officeDocument/2006/relationships/hyperlink" Target="garantF1://17503788.0" TargetMode="External"/><Relationship Id="rId25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3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521893.0" TargetMode="External"/><Relationship Id="rId20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29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2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503788.0" TargetMode="External"/><Relationship Id="rId23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28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10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19" Type="http://schemas.openxmlformats.org/officeDocument/2006/relationships/image" Target="media/image6.wmf"/><Relationship Id="rId31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14" Type="http://schemas.openxmlformats.org/officeDocument/2006/relationships/hyperlink" Target="garantF1://26586322.0" TargetMode="External"/><Relationship Id="rId22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27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0" Type="http://schemas.openxmlformats.org/officeDocument/2006/relationships/hyperlink" Target="file:///C:\Users\sao3\Downloads\postanovlenie_administracii_&#8470;22_ot_25.06.2021_ob_utverdzhenii_poryadka_razmescheniya_nestacionarnih_torgovih_objektov_na_territrii_arabosinskogo_s.p....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CE9B-EDC6-4922-B933-2028C617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специалист-архитектор</dc:creator>
  <cp:keywords/>
  <dc:description/>
  <cp:lastModifiedBy>sao3</cp:lastModifiedBy>
  <cp:revision>4</cp:revision>
  <cp:lastPrinted>2021-07-01T07:47:00Z</cp:lastPrinted>
  <dcterms:created xsi:type="dcterms:W3CDTF">2021-07-01T07:42:00Z</dcterms:created>
  <dcterms:modified xsi:type="dcterms:W3CDTF">2021-07-01T07:49:00Z</dcterms:modified>
</cp:coreProperties>
</file>