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3F" w:rsidRPr="00672A3F" w:rsidRDefault="00672A3F" w:rsidP="00672A3F">
      <w:pPr>
        <w:spacing w:after="0" w:line="240" w:lineRule="auto"/>
        <w:ind w:right="449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right="449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5CE5117F" wp14:editId="5ADD2F32">
            <wp:simplePos x="0" y="0"/>
            <wp:positionH relativeFrom="margin">
              <wp:align>center</wp:align>
            </wp:positionH>
            <wp:positionV relativeFrom="paragraph">
              <wp:posOffset>-216320</wp:posOffset>
            </wp:positionV>
            <wp:extent cx="663955" cy="622219"/>
            <wp:effectExtent l="0" t="0" r="3175" b="698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5" cy="62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A3F" w:rsidRPr="00672A3F" w:rsidRDefault="00672A3F" w:rsidP="00672A3F">
      <w:pPr>
        <w:spacing w:after="0" w:line="240" w:lineRule="auto"/>
        <w:ind w:right="449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right="449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8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672A3F" w:rsidRPr="00672A3F" w:rsidTr="000D7FBC">
        <w:trPr>
          <w:cantSplit/>
          <w:trHeight w:val="297"/>
        </w:trPr>
        <w:tc>
          <w:tcPr>
            <w:tcW w:w="4136" w:type="dxa"/>
          </w:tcPr>
          <w:p w:rsidR="00672A3F" w:rsidRPr="00672A3F" w:rsidRDefault="00672A3F" w:rsidP="00672A3F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2A3F" w:rsidRPr="00672A3F" w:rsidRDefault="00672A3F" w:rsidP="00672A3F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672A3F" w:rsidRPr="00672A3F" w:rsidRDefault="00672A3F" w:rsidP="00672A3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672A3F" w:rsidRPr="00672A3F" w:rsidRDefault="00672A3F" w:rsidP="00672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hideMark/>
          </w:tcPr>
          <w:p w:rsidR="00672A3F" w:rsidRPr="00672A3F" w:rsidRDefault="00672A3F" w:rsidP="006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2A3F"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КРАСНОАРМЕЙСКИЙ РАЙОН  </w:t>
            </w:r>
          </w:p>
        </w:tc>
      </w:tr>
      <w:tr w:rsidR="00672A3F" w:rsidRPr="00672A3F" w:rsidTr="000D7FBC">
        <w:trPr>
          <w:cantSplit/>
          <w:trHeight w:val="835"/>
        </w:trPr>
        <w:tc>
          <w:tcPr>
            <w:tcW w:w="4136" w:type="dxa"/>
          </w:tcPr>
          <w:p w:rsidR="00672A3F" w:rsidRPr="00672A3F" w:rsidRDefault="00672A3F" w:rsidP="00672A3F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672A3F" w:rsidRPr="00672A3F" w:rsidRDefault="00672A3F" w:rsidP="00672A3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  <w:r w:rsidRPr="00672A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72A3F" w:rsidRPr="00672A3F" w:rsidRDefault="00672A3F" w:rsidP="00672A3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3F" w:rsidRPr="00672A3F" w:rsidRDefault="00672A3F" w:rsidP="00672A3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672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672A3F" w:rsidRPr="00672A3F" w:rsidRDefault="00672A3F" w:rsidP="00672A3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A3F" w:rsidRPr="00672A3F" w:rsidRDefault="00672A3F" w:rsidP="00672A3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72A3F" w:rsidRPr="00672A3F" w:rsidRDefault="00672A3F" w:rsidP="00672A3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7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2021.04.28   № С - 12/1</w:t>
            </w:r>
          </w:p>
          <w:p w:rsidR="00672A3F" w:rsidRPr="00672A3F" w:rsidRDefault="00672A3F" w:rsidP="00672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2A3F"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 w:rsidRPr="00672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A3F"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672A3F" w:rsidRPr="00672A3F" w:rsidRDefault="00672A3F" w:rsidP="00672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672A3F" w:rsidRPr="00672A3F" w:rsidRDefault="00672A3F" w:rsidP="00672A3F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СОБРАНИЕ ДЕПУТАТОВ </w:t>
            </w:r>
          </w:p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УБЕЕВСКОГО </w:t>
            </w:r>
          </w:p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2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72A3F" w:rsidRPr="00672A3F" w:rsidRDefault="00672A3F" w:rsidP="00672A3F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</w:pPr>
            <w:r w:rsidRPr="00672A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28.04.2021   № С- 12/1</w:t>
            </w:r>
          </w:p>
          <w:p w:rsidR="00672A3F" w:rsidRPr="00672A3F" w:rsidRDefault="00672A3F" w:rsidP="00672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A3F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72A3F">
              <w:rPr>
                <w:rFonts w:ascii="Times New Roman" w:eastAsia="Times New Roman" w:hAnsi="Times New Roman" w:cs="Times New Roman"/>
                <w:color w:val="000000"/>
              </w:rPr>
              <w:t>Убеево</w:t>
            </w:r>
            <w:proofErr w:type="spellEnd"/>
          </w:p>
        </w:tc>
      </w:tr>
    </w:tbl>
    <w:p w:rsidR="00672A3F" w:rsidRPr="00672A3F" w:rsidRDefault="00672A3F" w:rsidP="00672A3F">
      <w:pPr>
        <w:spacing w:after="0" w:line="240" w:lineRule="auto"/>
        <w:ind w:right="4497" w:hanging="180"/>
        <w:jc w:val="both"/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</w:pPr>
      <w:r w:rsidRPr="00672A3F"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  <w:t xml:space="preserve">  </w:t>
      </w:r>
    </w:p>
    <w:p w:rsidR="00672A3F" w:rsidRPr="00672A3F" w:rsidRDefault="00672A3F" w:rsidP="00672A3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преобразование муниципальных образований путем объединения всех поселений, входящих                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</w:t>
      </w:r>
      <w:proofErr w:type="gramStart"/>
      <w:r w:rsidRPr="0067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центром:   </w:t>
      </w:r>
      <w:proofErr w:type="gramEnd"/>
      <w:r w:rsidRPr="0067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село Красноармейское</w:t>
      </w: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рассмотрев решение Собрания депутатов Красноармейского района Чувашской Республики от 23 марта 2021 года № С-9/1 «Об инициативе по преобразованию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Красноармейское», выражая мнение населения 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  </w:t>
      </w: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67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67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Красноармейского района решило:</w:t>
      </w: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Согласиться на преобразование муниципальных образований путем объединения всех поселений, входящих в состав Красноармейского района Чувашской Республики: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Алманчинского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Большешатьминского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</w:t>
      </w:r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Республики, Исаковского сельского поселения Красноармейского района Чувашской Республики,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Красноармейского сельского поселения Красноармейского района Чувашской Республики,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Пикшикского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Яншихово-Челлинского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Красноармейское.</w:t>
      </w: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Собрание депутатов Красноармейского района Чувашской Республики.</w:t>
      </w:r>
    </w:p>
    <w:p w:rsidR="00672A3F" w:rsidRPr="00672A3F" w:rsidRDefault="00672A3F" w:rsidP="0067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67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672A3F" w:rsidRPr="00672A3F" w:rsidRDefault="00672A3F" w:rsidP="00672A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3F" w:rsidRPr="00672A3F" w:rsidRDefault="00672A3F" w:rsidP="00672A3F">
      <w:pPr>
        <w:jc w:val="both"/>
      </w:pPr>
    </w:p>
    <w:p w:rsidR="00672A3F" w:rsidRPr="00672A3F" w:rsidRDefault="00672A3F" w:rsidP="00672A3F">
      <w:pPr>
        <w:jc w:val="both"/>
      </w:pPr>
    </w:p>
    <w:p w:rsidR="00672A3F" w:rsidRPr="00672A3F" w:rsidRDefault="00672A3F" w:rsidP="00672A3F">
      <w:pPr>
        <w:jc w:val="both"/>
      </w:pPr>
    </w:p>
    <w:p w:rsidR="00672A3F" w:rsidRPr="00672A3F" w:rsidRDefault="00672A3F" w:rsidP="00672A3F">
      <w:pPr>
        <w:jc w:val="both"/>
      </w:pPr>
    </w:p>
    <w:p w:rsidR="00672A3F" w:rsidRPr="00672A3F" w:rsidRDefault="00672A3F" w:rsidP="00672A3F">
      <w:pPr>
        <w:jc w:val="both"/>
        <w:rPr>
          <w:rFonts w:ascii="Times New Roman" w:hAnsi="Times New Roman" w:cs="Times New Roman"/>
          <w:sz w:val="24"/>
          <w:szCs w:val="24"/>
        </w:rPr>
      </w:pPr>
      <w:r w:rsidRPr="00672A3F">
        <w:rPr>
          <w:rFonts w:ascii="Times New Roman" w:hAnsi="Times New Roman" w:cs="Times New Roman"/>
        </w:rPr>
        <w:t xml:space="preserve">          </w:t>
      </w:r>
      <w:r w:rsidRPr="00672A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72A3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672A3F" w:rsidRPr="00672A3F" w:rsidRDefault="00672A3F" w:rsidP="00672A3F">
      <w:pPr>
        <w:rPr>
          <w:rFonts w:ascii="Times New Roman" w:hAnsi="Times New Roman" w:cs="Times New Roman"/>
          <w:sz w:val="24"/>
          <w:szCs w:val="24"/>
        </w:rPr>
      </w:pPr>
      <w:r w:rsidRPr="00672A3F">
        <w:rPr>
          <w:rFonts w:ascii="Times New Roman" w:hAnsi="Times New Roman" w:cs="Times New Roman"/>
          <w:sz w:val="24"/>
          <w:szCs w:val="24"/>
        </w:rPr>
        <w:t xml:space="preserve">         сельского   поселения                                                                        Н.И. </w:t>
      </w:r>
      <w:proofErr w:type="spellStart"/>
      <w:r w:rsidRPr="00672A3F"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</w:p>
    <w:p w:rsidR="008E234C" w:rsidRDefault="008E234C">
      <w:bookmarkStart w:id="0" w:name="_GoBack"/>
      <w:bookmarkEnd w:id="0"/>
    </w:p>
    <w:sectPr w:rsidR="008E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3F"/>
    <w:rsid w:val="00672A3F"/>
    <w:rsid w:val="008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D33E-E906-4EFD-A98F-43FA91C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dcterms:created xsi:type="dcterms:W3CDTF">2021-04-28T13:01:00Z</dcterms:created>
  <dcterms:modified xsi:type="dcterms:W3CDTF">2021-04-28T13:01:00Z</dcterms:modified>
</cp:coreProperties>
</file>