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7A68F8DD" wp14:editId="28202388">
            <wp:simplePos x="0" y="0"/>
            <wp:positionH relativeFrom="margin">
              <wp:posOffset>2382520</wp:posOffset>
            </wp:positionH>
            <wp:positionV relativeFrom="paragraph">
              <wp:posOffset>-320929</wp:posOffset>
            </wp:positionV>
            <wp:extent cx="664210" cy="609600"/>
            <wp:effectExtent l="0" t="0" r="254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8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881856" w:rsidRPr="00881856" w:rsidTr="00803667">
        <w:trPr>
          <w:cantSplit/>
          <w:trHeight w:val="297"/>
        </w:trPr>
        <w:tc>
          <w:tcPr>
            <w:tcW w:w="4136" w:type="dxa"/>
          </w:tcPr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ВАШ  РЕСПУБЛИКИ</w:t>
            </w:r>
            <w:proofErr w:type="gramEnd"/>
          </w:p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881856" w:rsidRPr="00881856" w:rsidRDefault="00881856" w:rsidP="008818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881856" w:rsidRPr="00881856" w:rsidTr="00803667">
        <w:trPr>
          <w:cantSplit/>
          <w:trHeight w:val="835"/>
        </w:trPr>
        <w:tc>
          <w:tcPr>
            <w:tcW w:w="4136" w:type="dxa"/>
          </w:tcPr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УПИ САЛИ ПОСЕЛЕНИЙĚН</w:t>
            </w:r>
          </w:p>
          <w:p w:rsidR="00881856" w:rsidRPr="00881856" w:rsidRDefault="00881856" w:rsidP="00881856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ДЕПУТАТСЕН ПУХĂВĚ</w:t>
            </w: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8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2021.04.07   № С - 11/1</w:t>
            </w:r>
          </w:p>
          <w:p w:rsidR="00881856" w:rsidRPr="00881856" w:rsidRDefault="00881856" w:rsidP="008818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881856" w:rsidRPr="00881856" w:rsidRDefault="00881856" w:rsidP="008818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81856" w:rsidRPr="00881856" w:rsidRDefault="00881856" w:rsidP="00881856">
            <w:pPr>
              <w:snapToGri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</w:pPr>
            <w:r w:rsidRPr="00881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07.04.2021   № С- 11/1</w:t>
            </w:r>
          </w:p>
          <w:p w:rsidR="00881856" w:rsidRPr="00881856" w:rsidRDefault="00881856" w:rsidP="008818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>Убеево</w:t>
            </w:r>
            <w:proofErr w:type="spellEnd"/>
          </w:p>
        </w:tc>
      </w:tr>
    </w:tbl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b/>
          <w:bCs/>
          <w:spacing w:val="10"/>
          <w:kern w:val="24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b/>
          <w:bCs/>
          <w:spacing w:val="10"/>
          <w:kern w:val="24"/>
          <w:sz w:val="24"/>
          <w:szCs w:val="24"/>
          <w:lang w:eastAsia="ru-RU"/>
        </w:rPr>
        <w:t xml:space="preserve">  </w:t>
      </w:r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b/>
          <w:bCs/>
          <w:spacing w:val="10"/>
          <w:kern w:val="24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88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Красноармейского района Чувашской Республики от 14.06.2012 № С-14/3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28 Федерального закона от 06 октября 2003 </w:t>
      </w:r>
      <w:proofErr w:type="gram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статьей 14 Устава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 и в целях обеспечения прав жителей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 на участие в осуществлении местного самоуправления посредством участия в публичных слушаниях, 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88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Красноармейского района решило: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 публичных слушаниях в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Красноармейского района Чувашской Республики, утвержденное решением Собрания депутатов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 от 14.06.2012 № С-14/3 (с изменениями, внесенными решениями Собрания депутатов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 от 26.10.2017 </w:t>
      </w:r>
      <w:proofErr w:type="gram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С</w:t>
      </w:r>
      <w:proofErr w:type="gram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-21/1, от 19.12.2017 № С-24/4),  следующие изменения: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6.3 изложить в следующей редакции: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«6.3. Собрание депутатов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глава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назначающие публичные слушания, издают правовой акт о проведении публичных слушаний, включающий информацию о теме, дате, времени, месте проведения публичных слушаний и организаторе публичных слушаний. 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публичных слушаний должно приниматься не позже чем за 20 дней до даты рассмотрения органом местного самоуправления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должностным лицом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проекта муниципального правового акта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Решение о проведении публичных 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слушаний по проекту Устава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проекта. 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акт о проведении публичных слушаний и проект соответствующего муниципального правового акта подлежат опубликованию в периодическом печатном издании «Вестник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не позднее, чем за 7 дней до проведения слушаний. Решение о проведении публичных слушаний по проекту Устава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«Вестник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не позднее, чем за 30 дней до проведения слушаний.  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не позже чем за 7 дней до дня рассмотрения проекта.»;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8.9 изложить в следующей редакции: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«8.9. Срок подготовки протокола публичных слушаний составляет не более 3 дней со дня проведения публичных слушаний.»;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8.10 изложить в следующей редакции: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«8.10. Срок подготовки заключения о результатах публичных слушаний составляет не более 3 дней со дня оформления протокола публичных слушаний.»;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8.13 изложить в следующей редакции: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«8.13. Результаты публичных слушаний должны быть опубликованы в периодическом печатном издании «Вестник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не позднее чем через 7 дней после проведения публичных слушаний.».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881856" w:rsidRPr="00881856" w:rsidRDefault="00881856" w:rsidP="00881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Глава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сельского поселения                                                                          Н.И. </w:t>
      </w:r>
      <w:proofErr w:type="spellStart"/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Димитриева</w:t>
      </w:r>
      <w:proofErr w:type="spellEnd"/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0" allowOverlap="1" wp14:anchorId="73FFEBF3" wp14:editId="3C0BB76C">
            <wp:simplePos x="0" y="0"/>
            <wp:positionH relativeFrom="margin">
              <wp:align>center</wp:align>
            </wp:positionH>
            <wp:positionV relativeFrom="paragraph">
              <wp:posOffset>-374015</wp:posOffset>
            </wp:positionV>
            <wp:extent cx="664210" cy="609600"/>
            <wp:effectExtent l="0" t="0" r="254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8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881856" w:rsidRPr="00881856" w:rsidTr="00803667">
        <w:trPr>
          <w:cantSplit/>
          <w:trHeight w:val="297"/>
        </w:trPr>
        <w:tc>
          <w:tcPr>
            <w:tcW w:w="4136" w:type="dxa"/>
          </w:tcPr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ВАШ  РЕСПУБЛИКИ</w:t>
            </w:r>
            <w:proofErr w:type="gramEnd"/>
          </w:p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881856" w:rsidRPr="00881856" w:rsidRDefault="00881856" w:rsidP="008818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881856" w:rsidRPr="00881856" w:rsidTr="00803667">
        <w:trPr>
          <w:cantSplit/>
          <w:trHeight w:val="835"/>
        </w:trPr>
        <w:tc>
          <w:tcPr>
            <w:tcW w:w="4136" w:type="dxa"/>
          </w:tcPr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УПИ САЛИ ПОСЕЛЕНИЙĚН</w:t>
            </w:r>
          </w:p>
          <w:p w:rsidR="00881856" w:rsidRPr="00881856" w:rsidRDefault="00881856" w:rsidP="00881856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ДЕПУТАТСЕН ПУХĂВĚ</w:t>
            </w: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8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2021.04.07   № С - 11/2</w:t>
            </w:r>
          </w:p>
          <w:p w:rsidR="00881856" w:rsidRPr="00881856" w:rsidRDefault="00881856" w:rsidP="008818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881856" w:rsidRPr="00881856" w:rsidRDefault="00881856" w:rsidP="008818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81856" w:rsidRPr="00881856" w:rsidRDefault="00881856" w:rsidP="00881856">
            <w:pPr>
              <w:snapToGri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</w:pPr>
            <w:r w:rsidRPr="00881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07.04.2021   № С- 11/2</w:t>
            </w:r>
          </w:p>
          <w:p w:rsidR="00881856" w:rsidRPr="00881856" w:rsidRDefault="00881856" w:rsidP="008818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>Убеево</w:t>
            </w:r>
            <w:proofErr w:type="spellEnd"/>
          </w:p>
        </w:tc>
      </w:tr>
    </w:tbl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b/>
          <w:bCs/>
          <w:spacing w:val="10"/>
          <w:kern w:val="24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b/>
          <w:bCs/>
          <w:spacing w:val="10"/>
          <w:kern w:val="24"/>
          <w:sz w:val="24"/>
          <w:szCs w:val="24"/>
          <w:lang w:eastAsia="ru-RU"/>
        </w:rPr>
        <w:t xml:space="preserve">  </w:t>
      </w: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8"/>
      </w:tblGrid>
      <w:tr w:rsidR="00881856" w:rsidRPr="00881856" w:rsidTr="00803667">
        <w:trPr>
          <w:trHeight w:val="897"/>
        </w:trPr>
        <w:tc>
          <w:tcPr>
            <w:tcW w:w="5398" w:type="dxa"/>
          </w:tcPr>
          <w:p w:rsidR="00881856" w:rsidRPr="00881856" w:rsidRDefault="00881856" w:rsidP="0088185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от 14 декабря 2020 года № С-5/1 «О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годов»</w:t>
            </w:r>
          </w:p>
          <w:p w:rsidR="00881856" w:rsidRPr="00881856" w:rsidRDefault="00881856" w:rsidP="008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proofErr w:type="spellStart"/>
      <w:r w:rsidRPr="00881856">
        <w:rPr>
          <w:rFonts w:ascii="Times New Roman" w:eastAsia="Times New Roman" w:hAnsi="Times New Roman" w:cs="Arial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Красноармейского района Чувашской Республики,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Собрание депутатов </w:t>
      </w:r>
      <w:proofErr w:type="spellStart"/>
      <w:r w:rsidRPr="0088185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сельского поселения </w:t>
      </w:r>
      <w:r w:rsidRPr="00881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Красноармейского района решило: </w:t>
      </w: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856" w:rsidRPr="00881856" w:rsidRDefault="00881856" w:rsidP="00881856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депутатов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от 14 декабря 2020 года № С-5/1 «О бюджете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на 2021 год и на плановый период 2022 и 2023 годов» следующие изменения:</w:t>
      </w:r>
    </w:p>
    <w:p w:rsidR="00881856" w:rsidRPr="00881856" w:rsidRDefault="00881856" w:rsidP="0088185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изложить в новой редакции: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«прогнозируемый общий объем доходов бюджета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в сумме 7406339,0 </w:t>
      </w:r>
      <w:proofErr w:type="gram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,</w:t>
      </w:r>
      <w:proofErr w:type="gram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объем безвозмездных поступлений в сумме 5964139,0 рублей, из них объем межбюджетных трансфертов, получаемых из бюджета Красноармейского района Чувашской Республики, – 5509361,0 рублей»;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слова «5050260,0 рублей» заменить словами «7804777 рублей 65 копеек»;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абзаце седьмом слова «0,0 рублей» заменить словами «398438 рублей 65 копеек»;</w:t>
      </w:r>
    </w:p>
    <w:p w:rsidR="00881856" w:rsidRPr="00881856" w:rsidRDefault="00881856" w:rsidP="0088185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4: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3 изложить в следующей редакции: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«3. Утвердить: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3749052,0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сумме 1417000,0 рублей;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в сумме 1417000,0 рублей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объем доходов бюджета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31 октября 2013 года № С-27/3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муниципального дорожного фонда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3546563,60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сумме 1417000,0 рублей;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в сумме 1417000,0 рублей.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 в статье 7: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1 слова «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699000,0 рублей» заменить словами «на 2021 год в сумме 529000,0 рублей»;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2: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абзаце втором слова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699000,0 рублей» заменить словами «на 2021 год в сумме 529000,0 рублей»;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4)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3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«Прогнозируемые объемы поступлений доходов в бюджет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Красноармейского района Чувашской Республики на 2021 год» изложить в новой редакции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1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5) внести изменения в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5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«Распределение бюджетных ассигнований по разделам, подразделам, целевым статьям 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(муниципальным программам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2021 год»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2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внести изменения в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7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«Распределение бюджетных ассигнований 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целевым статьям (муниципальным программам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2021 год»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3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 внести изменения в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9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едомственная структура расходов бюджета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881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2021 год»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4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11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«Источники внутреннего финансирования дефицита бюджета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2021 год и плановый период 2021 и 2022 годов» изложить в новой редакции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5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Решение вступает в силу после его официального опубликования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периодическом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печатном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издании</w:t>
      </w:r>
      <w:proofErr w:type="gramEnd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естник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поселения».</w:t>
      </w: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                                                   Н.И. </w:t>
      </w:r>
      <w:proofErr w:type="spellStart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Димитриева</w:t>
      </w:r>
      <w:proofErr w:type="spellEnd"/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64"/>
        <w:gridCol w:w="2441"/>
        <w:gridCol w:w="2534"/>
      </w:tblGrid>
      <w:tr w:rsidR="00881856" w:rsidRPr="00881856" w:rsidTr="00803667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81856" w:rsidRPr="00881856" w:rsidTr="00803667">
        <w:trPr>
          <w:trHeight w:val="1548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 решению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881856" w:rsidRPr="00881856" w:rsidTr="00803667">
        <w:trPr>
          <w:trHeight w:val="16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118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Прогнозируемые объемы поступлений доходов в бюджет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81856" w:rsidRPr="00881856" w:rsidTr="00803667">
        <w:trPr>
          <w:trHeight w:val="58"/>
        </w:trPr>
        <w:tc>
          <w:tcPr>
            <w:tcW w:w="7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1856" w:rsidRPr="00881856" w:rsidTr="00803667">
        <w:trPr>
          <w:trHeight w:val="10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</w:t>
            </w: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1 442 200,00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72 300,00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72 300,00</w:t>
            </w:r>
          </w:p>
        </w:tc>
      </w:tr>
      <w:tr w:rsidR="00881856" w:rsidRPr="00881856" w:rsidTr="00803667">
        <w:trPr>
          <w:trHeight w:val="1643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69 200,00</w:t>
            </w:r>
          </w:p>
        </w:tc>
      </w:tr>
      <w:tr w:rsidR="00881856" w:rsidRPr="00881856" w:rsidTr="00803667">
        <w:trPr>
          <w:trHeight w:val="102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</w:tr>
      <w:tr w:rsidR="00881856" w:rsidRPr="00881856" w:rsidTr="00803667">
        <w:trPr>
          <w:trHeight w:val="76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486 400,00</w:t>
            </w:r>
          </w:p>
        </w:tc>
      </w:tr>
      <w:tr w:rsidR="00881856" w:rsidRPr="00881856" w:rsidTr="00803667">
        <w:trPr>
          <w:trHeight w:val="255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10010302231010000110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203 000,00</w:t>
            </w:r>
          </w:p>
        </w:tc>
      </w:tr>
      <w:tr w:rsidR="00881856" w:rsidRPr="00881856" w:rsidTr="00803667">
        <w:trPr>
          <w:trHeight w:val="280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10010302241010000110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881856" w:rsidRPr="00881856" w:rsidTr="00803667">
        <w:trPr>
          <w:trHeight w:val="27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10010302251010000110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282 000,00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22 700,00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00010503000000000000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22 700,00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18210503010010000110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22 700,00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00010601000000000000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85 800,00</w:t>
            </w:r>
          </w:p>
        </w:tc>
      </w:tr>
      <w:tr w:rsidR="00881856" w:rsidRPr="00881856" w:rsidTr="00803667">
        <w:trPr>
          <w:trHeight w:val="10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18210601030100000110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85 800,00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00010606000000000000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464 200,00</w:t>
            </w:r>
          </w:p>
        </w:tc>
      </w:tr>
      <w:tr w:rsidR="00881856" w:rsidRPr="00881856" w:rsidTr="00803667">
        <w:trPr>
          <w:trHeight w:val="792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18210606033100000110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25 600,00</w:t>
            </w:r>
          </w:p>
        </w:tc>
      </w:tr>
      <w:tr w:rsidR="00881856" w:rsidRPr="00881856" w:rsidTr="00803667">
        <w:trPr>
          <w:trHeight w:val="792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18210606043100000110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438 600,00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00010800000000000000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</w:tr>
      <w:tr w:rsidR="00881856" w:rsidRPr="00881856" w:rsidTr="00803667">
        <w:trPr>
          <w:trHeight w:val="16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99310804020010000110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881856" w:rsidRPr="00881856" w:rsidTr="00803667">
        <w:trPr>
          <w:trHeight w:val="8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289 300,00</w:t>
            </w:r>
          </w:p>
        </w:tc>
      </w:tr>
      <w:tr w:rsidR="00881856" w:rsidRPr="00881856" w:rsidTr="00803667">
        <w:trPr>
          <w:trHeight w:val="178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289 300,00</w:t>
            </w:r>
          </w:p>
        </w:tc>
      </w:tr>
      <w:tr w:rsidR="00881856" w:rsidRPr="00881856" w:rsidTr="00803667">
        <w:trPr>
          <w:trHeight w:val="178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99311105025100000120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279 400,00</w:t>
            </w:r>
          </w:p>
        </w:tc>
      </w:tr>
      <w:tr w:rsidR="00881856" w:rsidRPr="00881856" w:rsidTr="00803667">
        <w:trPr>
          <w:trHeight w:val="153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99311105035100000120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</w:tr>
      <w:tr w:rsidR="00881856" w:rsidRPr="00881856" w:rsidTr="00803667">
        <w:trPr>
          <w:trHeight w:val="51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14 500,00</w:t>
            </w:r>
          </w:p>
        </w:tc>
      </w:tr>
      <w:tr w:rsidR="00881856" w:rsidRPr="00881856" w:rsidTr="00803667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 xml:space="preserve">          Доходы от компенсации затрат государства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00011302000000000000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14 500,00</w:t>
            </w:r>
          </w:p>
        </w:tc>
      </w:tr>
      <w:tr w:rsidR="00881856" w:rsidRPr="00881856" w:rsidTr="00803667">
        <w:trPr>
          <w:trHeight w:val="76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99311302065100000130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14 500,00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00020000000000000000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5 964 139,00</w:t>
            </w:r>
          </w:p>
        </w:tc>
      </w:tr>
      <w:tr w:rsidR="00881856" w:rsidRPr="00881856" w:rsidTr="00803667">
        <w:trPr>
          <w:trHeight w:val="792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5 509 361,00</w:t>
            </w:r>
          </w:p>
        </w:tc>
      </w:tr>
      <w:tr w:rsidR="00881856" w:rsidRPr="00881856" w:rsidTr="00803667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00020210000000000000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2 941 100,00</w:t>
            </w:r>
          </w:p>
        </w:tc>
      </w:tr>
      <w:tr w:rsidR="00881856" w:rsidRPr="00881856" w:rsidTr="00803667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99320215001100000150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2 941 100,00</w:t>
            </w:r>
          </w:p>
        </w:tc>
      </w:tr>
      <w:tr w:rsidR="00881856" w:rsidRPr="00881856" w:rsidTr="00803667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2 464 581,00</w:t>
            </w:r>
          </w:p>
        </w:tc>
      </w:tr>
      <w:tr w:rsidR="00881856" w:rsidRPr="00881856" w:rsidTr="00803667">
        <w:trPr>
          <w:trHeight w:val="214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(дороги </w:t>
            </w:r>
            <w:proofErr w:type="spellStart"/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)R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02,R04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99320220216100000150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352 010,00</w:t>
            </w:r>
          </w:p>
        </w:tc>
      </w:tr>
      <w:tr w:rsidR="00881856" w:rsidRPr="00881856" w:rsidTr="00803667">
        <w:trPr>
          <w:trHeight w:val="72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99320229999100000150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2 112 571,00</w:t>
            </w:r>
          </w:p>
        </w:tc>
      </w:tr>
      <w:tr w:rsidR="00881856" w:rsidRPr="00881856" w:rsidTr="00803667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103 680,00</w:t>
            </w:r>
          </w:p>
        </w:tc>
      </w:tr>
      <w:tr w:rsidR="00881856" w:rsidRPr="00881856" w:rsidTr="00803667">
        <w:trPr>
          <w:trHeight w:val="10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99320235118100000150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103 680,00</w:t>
            </w:r>
          </w:p>
        </w:tc>
      </w:tr>
      <w:tr w:rsidR="00881856" w:rsidRPr="00881856" w:rsidTr="00803667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Прочие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00020700000000000000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454 778,00</w:t>
            </w:r>
          </w:p>
        </w:tc>
      </w:tr>
      <w:tr w:rsidR="00881856" w:rsidRPr="00881856" w:rsidTr="00803667">
        <w:trPr>
          <w:trHeight w:val="153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99320705010100000150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454 778,00</w:t>
            </w:r>
          </w:p>
        </w:tc>
      </w:tr>
      <w:tr w:rsidR="00881856" w:rsidRPr="00881856" w:rsidTr="00803667">
        <w:trPr>
          <w:trHeight w:val="289"/>
        </w:trPr>
        <w:tc>
          <w:tcPr>
            <w:tcW w:w="7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ДОХОДОВ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7 406 339,00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5" w:type="dxa"/>
        <w:tblLook w:val="04A0" w:firstRow="1" w:lastRow="0" w:firstColumn="1" w:lastColumn="0" w:noHBand="0" w:noVBand="1"/>
      </w:tblPr>
      <w:tblGrid>
        <w:gridCol w:w="4660"/>
        <w:gridCol w:w="475"/>
        <w:gridCol w:w="475"/>
        <w:gridCol w:w="1641"/>
        <w:gridCol w:w="559"/>
        <w:gridCol w:w="1670"/>
      </w:tblGrid>
      <w:tr w:rsidR="00881856" w:rsidRPr="00881856" w:rsidTr="00803667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2</w:t>
            </w:r>
          </w:p>
        </w:tc>
      </w:tr>
      <w:tr w:rsidR="00881856" w:rsidRPr="00881856" w:rsidTr="00803667">
        <w:trPr>
          <w:trHeight w:val="20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5 </w:t>
            </w:r>
          </w:p>
        </w:tc>
      </w:tr>
      <w:tr w:rsidR="00881856" w:rsidRPr="00881856" w:rsidTr="00803667">
        <w:trPr>
          <w:trHeight w:val="13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881856" w:rsidRPr="00881856" w:rsidTr="00803667">
        <w:trPr>
          <w:trHeight w:val="238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</w:t>
            </w: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группам  (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81856" w:rsidRPr="00881856" w:rsidTr="00803667">
        <w:trPr>
          <w:trHeight w:val="518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881856" w:rsidRPr="00881856" w:rsidTr="00803667">
        <w:trPr>
          <w:trHeight w:val="57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881856" w:rsidRPr="00881856" w:rsidTr="00803667">
        <w:trPr>
          <w:trHeight w:val="368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856" w:rsidRPr="00881856" w:rsidTr="00803667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2 754 517,65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2 823 682,00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-448 268,85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-448 268,85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общественых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341 500,00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  муниципальных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8" w:type="dxa"/>
        <w:tblInd w:w="15" w:type="dxa"/>
        <w:tblLook w:val="04A0" w:firstRow="1" w:lastRow="0" w:firstColumn="1" w:lastColumn="0" w:noHBand="0" w:noVBand="1"/>
      </w:tblPr>
      <w:tblGrid>
        <w:gridCol w:w="4167"/>
        <w:gridCol w:w="1640"/>
        <w:gridCol w:w="576"/>
        <w:gridCol w:w="498"/>
        <w:gridCol w:w="498"/>
        <w:gridCol w:w="2529"/>
      </w:tblGrid>
      <w:tr w:rsidR="00881856" w:rsidRPr="00881856" w:rsidTr="00803667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881856" w:rsidRPr="00881856" w:rsidTr="00803667">
        <w:trPr>
          <w:trHeight w:val="131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7 </w:t>
            </w:r>
          </w:p>
        </w:tc>
      </w:tr>
      <w:tr w:rsidR="00881856" w:rsidRPr="00881856" w:rsidTr="00803667">
        <w:trPr>
          <w:trHeight w:val="136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881856" w:rsidRPr="00881856" w:rsidTr="00803667">
        <w:trPr>
          <w:trHeight w:val="2355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</w:t>
            </w: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группам  (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группам и подгруппам) видов расходов, разделам, подразделам  классификации расходов бюджета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81856" w:rsidRPr="00881856" w:rsidTr="00803667">
        <w:trPr>
          <w:trHeight w:val="518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881856" w:rsidRPr="00881856" w:rsidTr="00803667">
        <w:trPr>
          <w:trHeight w:val="574"/>
        </w:trPr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881856" w:rsidRPr="00881856" w:rsidTr="00803667">
        <w:trPr>
          <w:trHeight w:val="3709"/>
        </w:trPr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2 754 517,65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  муниципальных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общественых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4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" w:type="dxa"/>
        <w:tblLook w:val="04A0" w:firstRow="1" w:lastRow="0" w:firstColumn="1" w:lastColumn="0" w:noHBand="0" w:noVBand="1"/>
      </w:tblPr>
      <w:tblGrid>
        <w:gridCol w:w="3034"/>
        <w:gridCol w:w="1787"/>
        <w:gridCol w:w="475"/>
        <w:gridCol w:w="475"/>
        <w:gridCol w:w="1477"/>
        <w:gridCol w:w="551"/>
        <w:gridCol w:w="1561"/>
      </w:tblGrid>
      <w:tr w:rsidR="00881856" w:rsidRPr="00881856" w:rsidTr="00803667">
        <w:trPr>
          <w:trHeight w:val="25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 </w:t>
            </w:r>
          </w:p>
        </w:tc>
      </w:tr>
      <w:tr w:rsidR="00881856" w:rsidRPr="00881856" w:rsidTr="00803667">
        <w:trPr>
          <w:trHeight w:val="202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25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9 </w:t>
            </w:r>
          </w:p>
        </w:tc>
      </w:tr>
      <w:tr w:rsidR="00881856" w:rsidRPr="00881856" w:rsidTr="00803667">
        <w:trPr>
          <w:trHeight w:val="145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881856" w:rsidRPr="00881856" w:rsidTr="00803667">
        <w:trPr>
          <w:trHeight w:val="127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</w:t>
            </w: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ведомственной структуры расходов бюджета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81856" w:rsidRPr="00881856" w:rsidTr="00803667">
        <w:trPr>
          <w:trHeight w:val="518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881856" w:rsidRPr="00881856" w:rsidTr="00803667">
        <w:trPr>
          <w:trHeight w:val="574"/>
        </w:trPr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881856" w:rsidRPr="00881856" w:rsidTr="00803667">
        <w:trPr>
          <w:trHeight w:val="3780"/>
        </w:trPr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856" w:rsidRPr="00881856" w:rsidTr="00803667">
        <w:trPr>
          <w:trHeight w:val="529"/>
        </w:trPr>
        <w:tc>
          <w:tcPr>
            <w:tcW w:w="4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2 754 517,65</w:t>
            </w:r>
          </w:p>
        </w:tc>
      </w:tr>
      <w:tr w:rsidR="00881856" w:rsidRPr="00881856" w:rsidTr="00803667">
        <w:trPr>
          <w:trHeight w:val="981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2 754 517,65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18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1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220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252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220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2 823 682,00</w:t>
            </w:r>
          </w:p>
        </w:tc>
      </w:tr>
      <w:tr w:rsidR="00881856" w:rsidRPr="00881856" w:rsidTr="00803667">
        <w:trPr>
          <w:trHeight w:val="45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80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"Создание и развитие инфраструктуры на сельских территориях" </w:t>
            </w: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программы "Комплексное развитие сельских территорий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16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79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27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24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6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-448 268,85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-448 268,85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28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83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394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130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общественых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11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1607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341 500,00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59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81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  муниципальных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2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477"/>
        <w:gridCol w:w="3581"/>
        <w:gridCol w:w="1619"/>
        <w:gridCol w:w="1030"/>
        <w:gridCol w:w="1325"/>
      </w:tblGrid>
      <w:tr w:rsidR="00881856" w:rsidRPr="00881856" w:rsidTr="00803667">
        <w:trPr>
          <w:trHeight w:val="40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881856" w:rsidRPr="00881856" w:rsidTr="00803667">
        <w:trPr>
          <w:trHeight w:val="174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"О бюджете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40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1856" w:rsidRPr="00881856" w:rsidTr="00803667">
        <w:trPr>
          <w:trHeight w:val="131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581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856" w:rsidRPr="00881856" w:rsidTr="00803667">
        <w:trPr>
          <w:trHeight w:val="943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proofErr w:type="spellStart"/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proofErr w:type="gramStart"/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>Красноармейского  района</w:t>
            </w:r>
            <w:proofErr w:type="gramEnd"/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Чувашской Республики на 2021 год и на плановый период 2022 и 2023 годов</w:t>
            </w:r>
          </w:p>
        </w:tc>
      </w:tr>
      <w:tr w:rsidR="00881856" w:rsidRPr="00881856" w:rsidTr="00803667">
        <w:trPr>
          <w:trHeight w:val="362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в</w:t>
            </w:r>
            <w:proofErr w:type="gramEnd"/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рублях)</w:t>
            </w:r>
          </w:p>
        </w:tc>
      </w:tr>
      <w:tr w:rsidR="00881856" w:rsidRPr="00881856" w:rsidTr="00803667">
        <w:trPr>
          <w:trHeight w:val="3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856" w:rsidRPr="00881856" w:rsidTr="00803667">
        <w:trPr>
          <w:trHeight w:val="5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81856" w:rsidRPr="00881856" w:rsidTr="00803667">
        <w:trPr>
          <w:trHeight w:val="50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1856" w:rsidRPr="00881856" w:rsidTr="00803667">
        <w:trPr>
          <w:trHeight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398438,65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9747F" w:rsidRDefault="0009747F"/>
    <w:sectPr w:rsidR="0009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34B7A"/>
    <w:multiLevelType w:val="hybridMultilevel"/>
    <w:tmpl w:val="8932C42C"/>
    <w:lvl w:ilvl="0" w:tplc="F97807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56"/>
    <w:rsid w:val="0009747F"/>
    <w:rsid w:val="003C657D"/>
    <w:rsid w:val="008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FA10-A587-4841-A933-6776E59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1856"/>
  </w:style>
  <w:style w:type="paragraph" w:styleId="a3">
    <w:name w:val="Plain Text"/>
    <w:basedOn w:val="a"/>
    <w:link w:val="a4"/>
    <w:uiPriority w:val="99"/>
    <w:semiHidden/>
    <w:unhideWhenUsed/>
    <w:rsid w:val="0088185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8185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881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8818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881856"/>
    <w:rPr>
      <w:b/>
      <w:bCs/>
      <w:color w:val="000080"/>
    </w:rPr>
  </w:style>
  <w:style w:type="paragraph" w:styleId="a8">
    <w:name w:val="Body Text"/>
    <w:basedOn w:val="a"/>
    <w:link w:val="a9"/>
    <w:rsid w:val="00881856"/>
    <w:pPr>
      <w:spacing w:after="0" w:line="240" w:lineRule="auto"/>
      <w:ind w:right="464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185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88185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81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7675</Words>
  <Characters>43751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2</cp:revision>
  <dcterms:created xsi:type="dcterms:W3CDTF">2021-04-07T12:22:00Z</dcterms:created>
  <dcterms:modified xsi:type="dcterms:W3CDTF">2021-04-07T12:22:00Z</dcterms:modified>
</cp:coreProperties>
</file>