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D" w:rsidRDefault="0084231D" w:rsidP="0084231D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-148590</wp:posOffset>
            </wp:positionV>
            <wp:extent cx="727710" cy="7239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01" w:type="dxa"/>
        <w:tblInd w:w="-176" w:type="dxa"/>
        <w:tblLook w:val="04A0"/>
      </w:tblPr>
      <w:tblGrid>
        <w:gridCol w:w="4517"/>
        <w:gridCol w:w="483"/>
        <w:gridCol w:w="5301"/>
      </w:tblGrid>
      <w:tr w:rsidR="0084231D" w:rsidTr="0084231D">
        <w:trPr>
          <w:cantSplit/>
          <w:trHeight w:val="420"/>
        </w:trPr>
        <w:tc>
          <w:tcPr>
            <w:tcW w:w="4517" w:type="dxa"/>
          </w:tcPr>
          <w:p w:rsidR="0084231D" w:rsidRDefault="0084231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4231D" w:rsidRDefault="0084231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4231D" w:rsidRDefault="0084231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483" w:type="dxa"/>
            <w:vMerge w:val="restart"/>
          </w:tcPr>
          <w:p w:rsidR="0084231D" w:rsidRDefault="0084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84231D" w:rsidRDefault="0084231D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4231D" w:rsidRDefault="0084231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4231D" w:rsidRDefault="0084231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РАЙОН</w:t>
            </w:r>
          </w:p>
        </w:tc>
      </w:tr>
      <w:tr w:rsidR="0084231D" w:rsidTr="0084231D">
        <w:trPr>
          <w:cantSplit/>
          <w:trHeight w:val="2366"/>
        </w:trPr>
        <w:tc>
          <w:tcPr>
            <w:tcW w:w="4517" w:type="dxa"/>
          </w:tcPr>
          <w:p w:rsidR="0084231D" w:rsidRDefault="0084231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ТУÇИ</w:t>
            </w:r>
          </w:p>
          <w:p w:rsidR="0084231D" w:rsidRDefault="0084231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84231D" w:rsidRDefault="0084231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84231D" w:rsidRDefault="0084231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</w:rPr>
              <w:t>ЙЫШĂНУ</w:t>
            </w:r>
          </w:p>
          <w:p w:rsidR="0084231D" w:rsidRDefault="0084231D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</w:p>
          <w:p w:rsidR="0084231D" w:rsidRDefault="0084231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март уйăхĕн 14–мĕшĕ 2022ç.</w:t>
            </w:r>
          </w:p>
          <w:p w:rsidR="0084231D" w:rsidRDefault="0084231D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 №</w:t>
            </w:r>
          </w:p>
          <w:p w:rsidR="0084231D" w:rsidRDefault="0084231D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t>Туçи ялĕ</w:t>
            </w:r>
          </w:p>
          <w:p w:rsidR="0084231D" w:rsidRDefault="0084231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31D" w:rsidRDefault="0084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84231D" w:rsidRDefault="0084231D">
            <w:pPr>
              <w:pStyle w:val="a4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4231D" w:rsidRDefault="0084231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ТУВСИНСКОГО СЕЛЬСКОГО</w:t>
            </w:r>
          </w:p>
          <w:p w:rsidR="0084231D" w:rsidRDefault="0084231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84231D" w:rsidRDefault="0084231D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84231D" w:rsidRDefault="0084231D">
            <w:pPr>
              <w:pStyle w:val="a4"/>
              <w:spacing w:line="276" w:lineRule="auto"/>
              <w:jc w:val="center"/>
              <w:rPr>
                <w:rFonts w:eastAsiaTheme="minorEastAsia"/>
              </w:rPr>
            </w:pPr>
          </w:p>
          <w:p w:rsidR="0084231D" w:rsidRDefault="0084231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 марта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 г. №18</w:t>
            </w:r>
          </w:p>
          <w:p w:rsidR="0084231D" w:rsidRDefault="0084231D">
            <w:pPr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t>деревня Тувси</w:t>
            </w:r>
          </w:p>
          <w:p w:rsidR="0084231D" w:rsidRDefault="0084231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F5B32" w:rsidRDefault="003F5B32" w:rsidP="003F5B32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3F5B32" w:rsidRPr="00EE1AB1" w:rsidRDefault="003F5B32" w:rsidP="003F5B32">
      <w:pPr>
        <w:rPr>
          <w:rFonts w:ascii="Times New Roman" w:hAnsi="Times New Roman" w:cs="Times New Roman"/>
          <w:b/>
          <w:sz w:val="24"/>
          <w:szCs w:val="24"/>
        </w:rPr>
      </w:pPr>
      <w:r w:rsidRPr="00EE1AB1">
        <w:rPr>
          <w:rFonts w:ascii="Times New Roman" w:hAnsi="Times New Roman" w:cs="Times New Roman"/>
          <w:b/>
          <w:sz w:val="24"/>
          <w:szCs w:val="24"/>
        </w:rPr>
        <w:t>Об утверждении Порядка разработки и реализации муниципальных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b/>
          <w:sz w:val="24"/>
          <w:szCs w:val="24"/>
        </w:rPr>
        <w:t>Тувсинского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b/>
          <w:sz w:val="24"/>
          <w:szCs w:val="24"/>
        </w:rPr>
        <w:t xml:space="preserve"> Цивильского района Чувашской Республики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ab/>
        <w:t>В целях совершенствования программно-целевых принципов организации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 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> Цивильского района Чувашской Республики   </w:t>
      </w:r>
      <w:proofErr w:type="spellStart"/>
      <w:proofErr w:type="gramStart"/>
      <w:r w:rsidRPr="00EE1A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          1. Утвердить прилагаемый Порядок разработки и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№</w:t>
      </w:r>
      <w:r w:rsidR="00495A48">
        <w:rPr>
          <w:rFonts w:ascii="Times New Roman" w:hAnsi="Times New Roman" w:cs="Times New Roman"/>
          <w:sz w:val="24"/>
          <w:szCs w:val="24"/>
        </w:rPr>
        <w:t>34</w:t>
      </w:r>
      <w:r w:rsidRPr="00EE1AB1">
        <w:rPr>
          <w:rFonts w:ascii="Times New Roman" w:hAnsi="Times New Roman" w:cs="Times New Roman"/>
          <w:sz w:val="24"/>
          <w:szCs w:val="24"/>
        </w:rPr>
        <w:t xml:space="preserve"> от </w:t>
      </w:r>
      <w:r w:rsidR="00495A48">
        <w:rPr>
          <w:rFonts w:ascii="Times New Roman" w:hAnsi="Times New Roman" w:cs="Times New Roman"/>
          <w:sz w:val="24"/>
          <w:szCs w:val="24"/>
        </w:rPr>
        <w:t>20</w:t>
      </w:r>
      <w:r w:rsidRPr="00EE1AB1">
        <w:rPr>
          <w:rFonts w:ascii="Times New Roman" w:hAnsi="Times New Roman" w:cs="Times New Roman"/>
          <w:sz w:val="24"/>
          <w:szCs w:val="24"/>
        </w:rPr>
        <w:t xml:space="preserve"> марта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г.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его официального опубликования (обнародования).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  <w:r w:rsidR="00DE6B7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DE6B7A">
        <w:rPr>
          <w:rFonts w:ascii="Times New Roman" w:hAnsi="Times New Roman" w:cs="Times New Roman"/>
          <w:sz w:val="24"/>
          <w:szCs w:val="24"/>
        </w:rPr>
        <w:t>а</w:t>
      </w:r>
      <w:r w:rsidRPr="00EE1A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Л.М.Атманова</w:t>
      </w: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DE6B7A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                       </w:t>
      </w:r>
    </w:p>
    <w:p w:rsidR="00DE6B7A" w:rsidRDefault="00DE6B7A" w:rsidP="003F5B32">
      <w:pPr>
        <w:rPr>
          <w:rFonts w:ascii="Times New Roman" w:hAnsi="Times New Roman" w:cs="Times New Roman"/>
          <w:sz w:val="24"/>
          <w:szCs w:val="24"/>
        </w:rPr>
      </w:pPr>
    </w:p>
    <w:p w:rsidR="00DE6B7A" w:rsidRDefault="00DE6B7A" w:rsidP="003F5B32">
      <w:pPr>
        <w:rPr>
          <w:rFonts w:ascii="Times New Roman" w:hAnsi="Times New Roman" w:cs="Times New Roman"/>
          <w:sz w:val="24"/>
          <w:szCs w:val="24"/>
        </w:rPr>
      </w:pPr>
    </w:p>
    <w:p w:rsidR="00DE6B7A" w:rsidRDefault="00DE6B7A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DE6B7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F5B32" w:rsidRPr="00EE1AB1" w:rsidRDefault="00DE6B7A" w:rsidP="00DE6B7A">
      <w:pPr>
        <w:spacing w:after="0" w:line="240" w:lineRule="auto"/>
        <w:ind w:left="5664" w:firstLine="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       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3F5B32" w:rsidRPr="00EE1AB1" w:rsidRDefault="003F5B32" w:rsidP="00DE6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DE6B7A" w:rsidP="00DE6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5B32" w:rsidRPr="00EE1A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1D">
        <w:rPr>
          <w:rFonts w:ascii="Times New Roman" w:hAnsi="Times New Roman" w:cs="Times New Roman"/>
          <w:sz w:val="24"/>
          <w:szCs w:val="24"/>
        </w:rPr>
        <w:t>14.03</w:t>
      </w:r>
      <w:r w:rsidR="003F5B32">
        <w:rPr>
          <w:rFonts w:ascii="Times New Roman" w:hAnsi="Times New Roman" w:cs="Times New Roman"/>
          <w:sz w:val="24"/>
          <w:szCs w:val="24"/>
        </w:rPr>
        <w:t>.</w:t>
      </w:r>
      <w:r w:rsidR="003F5B32" w:rsidRPr="00EE1A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г.  №</w:t>
      </w:r>
      <w:bookmarkStart w:id="0" w:name="_GoBack"/>
      <w:bookmarkEnd w:id="0"/>
      <w:r w:rsidR="0084231D">
        <w:rPr>
          <w:rFonts w:ascii="Times New Roman" w:hAnsi="Times New Roman" w:cs="Times New Roman"/>
          <w:sz w:val="24"/>
          <w:szCs w:val="24"/>
        </w:rPr>
        <w:t>18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32" w:rsidRPr="00EE1AB1" w:rsidRDefault="003F5B32" w:rsidP="00DE6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B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B1">
        <w:rPr>
          <w:rFonts w:ascii="Times New Roman" w:hAnsi="Times New Roman" w:cs="Times New Roman"/>
          <w:b/>
          <w:sz w:val="24"/>
          <w:szCs w:val="24"/>
        </w:rPr>
        <w:t>разработки и реализации муниципальных программ </w:t>
      </w:r>
      <w:r w:rsidR="00DE6B7A">
        <w:rPr>
          <w:rFonts w:ascii="Times New Roman" w:hAnsi="Times New Roman" w:cs="Times New Roman"/>
          <w:b/>
          <w:sz w:val="24"/>
          <w:szCs w:val="24"/>
        </w:rPr>
        <w:t>Тувсинского</w:t>
      </w:r>
      <w:r w:rsidRPr="00EE1A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 Цивильского района Чувашской Республики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 и реализации муниципальных программ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(далее – муниципальная программа), а также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ресурсами, обеспечивающих наиболее эффективное достижение целей и решение задач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  1.3. Муниципальная программа включает в себя подпрограммы муниципальной программы, содержащие в том числе основные мероприятия (далее также - подпрограмма), а также приоритетные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1.4. Подпрограммы направлены на решение конкретных задач в рамках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1.5. Разработка и реализация муниципальной программы осуществляются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 Участниками муниципальной программы являются территориальные органы федеральных органов исполнительной власти, хозяйствующие общества с муниципальным участием, муниципальные учреждения, общественные, и иные организации, участвующие в реализации одного или нескольких основных мероприятий подпрограммы (подпрограмм).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1.6. Муниципальные программы утверждаются постановлением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2.1. Муниципальная программа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титульный лист к муниципальной программе;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паспорт муниципальной программы по форме согласно приложению № 1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текстовую часть муниципальной программы, включающую следующие разделы: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 и подпрограмм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приложения к муниципальной программе по формам согласно приложениям № 2, 6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подпрограммы муниципальной программы, а также приоритетные программы, включающие в том числе паспорта приоритетных программ, обоснование паспортов приоритетных программ, разработанные в соответствии с методическими рекомендациями, утвержденными Министерством экономического развития, промышленности и торговли Чувашской Республики (далее - Минэкономразвития Чувашии), в качестве приложений к муниципальной программе;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2.2. Титульный лист к муниципальной программе должен содержать следующую информацию: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дата составления проекта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2.3. Приоритеты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2.4. Цели муниципальной программы должны соответствовать приоритетам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 Формулировка цели должна быть краткой и ясной и не должна содержать специальных терминов.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Цель должна обладать следующими свойствами: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специфичность (цель должна соответствовать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измеримость (достижение цели можно проверить);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достижимость (цель должна быть достижима за период реализации муниципальной программы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2.6.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Цивильского района на долгосрочный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При формировании целей, задач и основных мероприятий, а также характеризующих их целевых показателей (индикаторов) 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Поваркасинском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 xml:space="preserve"> сельском поселении, влияющие на достижение результатов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быть установлены для каждой цели (задачи) муниципальной программы и увязаны с каждым основным мероприятием подпрограмм муниципальной программы. В перечень обязательных целевых показателей (индикаторов) муниципальной программы входят целевые показатели (индикаторы),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Республики, указами и распоряжениями Главы Чувашской Республики, муниципальными правовыми актами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б) рассчитываются по методикам, включенным в состав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(индикаторов) целевые показатели (индикаторы), установленные в документах стратегического планирования.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иметь запланированные по годам количественные значения.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подпрограмм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и их значениях приводятся по форме согласно приложению № 2 к настоящему Порядку.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 расчете целевых показателей (индикаторов)  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2.8. Для включенных в муниципальную программу подпрограмм приводятся их паспорта, текстовые части и приложения к подпрограммам.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Подпрограммы приводятся в приложениях к муниципальной 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2.8.1. При подготовке муниципальной программы разрабатываются следующие дополнительные и обосновывающие материалы: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основные показатели и анализ социальных, финансово-экономических рисков;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б) прогноз развития соответствующей сферы социально-экономического развития Цивильского района и планируемые макроэкономические показатели на среднесрочный период;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в) анализ рисков реализации муниципальной программы, в том числе не достижения целевых показателей (индикаторов) муниципальной программы, а также описание мер управления рисками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г) обоснование набора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сведения об основных мерах правового регулирования в сфере реализации муниципальных программы по форме согласно приложению № 3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е) основные параметры потребности в трудовых ресурсах для реализации муниципальной программы, включая потребность в инженерно-технических кадрах и прогноз объемов их подготовки за счет бюджетных сре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и наличии такой потребности для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ж) дополнительные сведения по подпрограммам муниципальной программы (при наличии).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Материалы, указанные в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пункте, не входят в состав муниципальной программы, утверждаемой постановлением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В рамках характеристики текущего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объем которой должен быть не более трех печатных страниц, предусматривается проведение анализа ее текущего (действительного) состояния, включая выявление основных проблем, прогноз развития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а также анализ социальных, финансово-экономических рисков.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Анализ текущего (действительного)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должен включать характеристику итогов реализуемой на территории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политики в этой сфере не менее чем за три года, предшествующих году начала реализации муниципальной программы, выявление потенциала развития анализируемой сферы и существующих ограничений в сфере реализации муниципальной программы.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должна содержать основные показатели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 Цивильского района за истекший период текущего года.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Прогноз развития соответствующей сферы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должен определять тенденции ее развития и планируемые макроэкономические показатели на среднесрочный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2.9.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качественную и, по возможности, количественную оценку факторов рисков;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обоснование предложений по мерам управления рисками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Ответственный исполнитель разрабатывает и направляет муниципальный правовой акт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утверждение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в котором отражается прогноз сводных показателей муниципальных заданий на оказание муниципальных услуг муниципальными учреждениями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  по муниципальной программе (при оказании муниципальными учреждениями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муниципальных услуг (выполнении работ) в рамках муниципальной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программы) и план реализации муниципальной программы на очередной финансовый год (очередной финансовый год и плановый период) (далее – правовой акт).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   услуг муниципальными учреждениями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 муниципальной программе приводится на основе обобщения соответствующих сведений по подпрограммам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В план реализации муниципальной программы на очередной финансовый год (очередной финансовый год и плановый период) подлежат включению все мероприятия в составе основных мероприятий подпрограмм.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Объем расходов на реализацию мероприятий (основных мероприятий, подпрограмм) указывается в соответствии с бюджетными ассигнованиями, предусмотренными в муниципальном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период).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В случае если для реализации мероприятий (основных мероприятий, подпрограмм) в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Правовой акт состоит из текстовой части и таблиц по формам согласно приложениям № 4, 7 к настоящему Порядку.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Проект правового акта (проект решения о внесении изменений в правовой акт) подлежит согласованию с отделом экономики администрации Цивильского района (далее – отдел экономики) и финансовым отделом администрации Цивильского района (далее – финансовый отдел) в течение одного месяца до утверждения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муниципальной программы (внесения изменений в муниципальную программу).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III. Основание и этапы разработки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отделом экономики по согласованию с финансовым отделом исходя из стратегии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документов стратегического планирования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на основании положений нормативных правовых актов Российской Федерации, Чувашской Республики и муниципальных правовых актов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предусматривающих реализацию муниципальных программ, во исполнение отдельных решений Главы Чувашской Республики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, Кабинета Министров Чувашской Республики, главы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муниципальных программ производится по мере необходимости по решению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основании предложений отдела экономики и финансового отдела подготовленных по предложениям ответственных исполнителей в соответствии с положениями нормативных правовых актов Российской Федерации, Чувашской Республики и муниципальных правовых актов Цивильского района, предусматривающих реализацию муниципальных программ, а также во исполнение отдельных решений Главы Чувашской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Республики, Кабинета Министров Чувашской Республики, главы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наименования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перечень подпрограмм муниципальных программ (программы).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не ранее чем за один год до начала реализации муниципальной программы в соответствии с настоящим Порядком.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актов, установленных в соответствии с действующим законодательством. Проект нормативного правового акта об утверждении муниципальной программы размещается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3.4. Проект муниципальной программы направляется на согласование соисполнителям и участникам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 (мероприятий).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3.6. Проект постановления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об утверждении муниципальной программы представляется в отдел экономики, финансовый отдел и сектор юридической службы администрации Цивильского района  с приложением заключения о проведении антикоррупционной экспертизы указанного проекта.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 на Собрание депутатов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3.7 Проект муниципальной программы, согласованный со всеми соисполнителями и участниками муниципальной программы, а так же с отделом экономики, финансовым отделом и сектором юридической службы, направляется ответственным исполнителем на утверждение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3.8 Текст муниципальной программы размещается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"Интернет" в течение месяца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3.9. Основные параметры утвержденных муниципальных программ подлежат отражению в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на среднесрочный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3.10. Разработка, реализация и изменение муниципальных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Поваркасинском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района, утвержденного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IV. Финансовое обеспечение реализации муниципальных программ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асшифровкой по ответственным исполнителям и соисполнителям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о бюджете Цивильского района на очередной финансовый год и плановый период.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Объем бюджетных ассигнований указывается в тысячах  рублей с точностью до первого знака после запятой.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4.3. Если в реализации муниципальной программы участвуют муниципальные унитарные предприятия, хозяйственные общества с муниципальным  участием, общественные, научные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представляются по форме согласно приложению № 6 к настоящему Порядку.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отношении формирования и реализации адресной инвестиционной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4.5. Муниципальные программы подлежат приведению в соответствие с решением о бюджете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очередной финансовый год (очередной финансовый год и плановый период) не позднее трех месяцев со дня вступления его в силу.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бюджетным законодательством Российской Федерации, нормативными правовыми актами Чувашской Республики, муниципальными правовыми актами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регулирующими бюджетные правоотношения, а также с учетом результатов реализации муниципальных программ за предыдущий год.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4.6. В случае если муниципальная программа направлена на достижение целей и решение задач местного значения, в рамках муниципальной программы может быть предусмотрено предоставление межбюджетных субсидий, направленных на достижение целей, соответствующих муниципальной программе. Правила предоставления межбюджетной субсидии (включая условия предоставления и методику расчета межбюджетных субсидий)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устанавливаются соответствующей муниципальной программой и должны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а) целевое назначение межбюджетных субсидий, за исключением адресного (</w:t>
      </w: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распределения межбюджетных субсидий по объектам капитального строительства (мероприятиям (укрупненным инвестиционным проектам) и объектам недвижимого имущества, устанавливаемого муниципальной программой (подпрограммой);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б) условия предоставления и расходования межбюджетных субсидий;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в) критерии отбора сельских поселений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г) методику распределения межбюджетных субсидий между сельскими поселениями, учитывающую уровень софинансирования из местного бюджета;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показателям (индикаторам) муниципальных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е) сроки и порядок представления отчетности об исполнении условий предоставления межбюджетных субсидий;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ж) основания и порядок применения мер финансовой ответственности органов местного самоуправления Цивильского района при невыполнении условий договора (соглашения) о предоставлении субсидий из республиканского бюджета Чувашской Республики бюджету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в том числе порядок и предельный объем сокращения и перераспределения межбюджетных субсидий в случае невыполнения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условий предоставления межбюджетных субсидий и обязательств по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целевому и эффективному их использованию.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4.7. Адресное (</w:t>
      </w:r>
      <w:proofErr w:type="spellStart"/>
      <w:r w:rsidRPr="00EE1AB1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EE1AB1">
        <w:rPr>
          <w:rFonts w:ascii="Times New Roman" w:hAnsi="Times New Roman" w:cs="Times New Roman"/>
          <w:sz w:val="24"/>
          <w:szCs w:val="24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 отношении линейных объектов муниципальной собственности в муниципальной программе (подпрограмме) указывается адресное распределение межбюджетных субсидий с распределением объемов финансирования по годам без детализации по этапам строительства.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V. Разработка подпрограммы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5.1. Подпрограмма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является неотъемлемой частью муниципальной программы и формируется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 учетом согласованности основных параметров подпрограммы 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 Подпрограмма имеет следующую структуру: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5.2.1. Паспорт подпрограммы муниципальной программы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(по форме согласно приложению № 8к настоящему Порядку).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5.2.2 Текстовая часть подпрограммы по следующим разделам: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приоритеты и цели подпрограммы, общая характеристика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реализации подпрограммы;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перечень и сведения о целевых показателях (индикаторах) подпрограммы с расшифровкой плановых значений по годам ее реализации;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характеристики основных мероприятий, мероприятий подпрограммы с указанием сроков и этапов их реализации;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подпрограмме могут быть приложены иные приложения, необходимые для выполнения требований (методических рекомендаций) Кабинета Министров Чувашской Республики, органов исполнительной власти Чувашской Республики по разработке (подпрограмм муниципальных программ).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5.2.4. Приложение к подпрограмме по форме согласно приложению № 5 к настоящему Порядку, а также паспорта приоритетных проектов, включающие в том числе обоснование паспортов приоритетных проектов, разработанные в соответствии с методическими рекомендациями, утвержденными Минэкономразвития Чувашии, в качестве приложений к подпрограмме.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VI. Управление и контроль реализации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6.1. Текущее управление реализацией Программы осуществляются ответственным исполнителем.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6.2. 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а также информацию о расходах из других источников.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Наименования мероприятий основных мероприятий подпрограмм формулируются с учетом поручений главы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а также планов мероприятий ("дорожных карт") в соответствующих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муниципальной программы в целом.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(мероприятий) подпрограмм.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муниципальную программу принимаются постановлением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 мере необходимости по предложениям ответственного исполнителя. Проект постановления администрации Цивильского района о внесении изменений в муниципальную программу направляется на согласование соисполнителям,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показателей (индикаторов) за истекший год позднее 1 февраля года, следующего за отчетным годом, не допускается.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 xml:space="preserve">В случае если муниципальной программой предусмотрено предоставление межбюджетных субсидий, разработка проекта постановления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главой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Предметом согласования при рассмотрении проекта постановления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указанного в абзаце четвертом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VII. Подготовка годовых отчетов и докладов о ходе реализации муниципальной программы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 7.1. 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1 марта года, следующего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отчетным, на бумажном носителе и в электронном виде.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>Уточненный годовой отчет и уточненный годовой доклад в части сведений о степени соответствия установленных и достигнутых целевых показателей (индикаторов)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20 июля года, следующего за отчетным, на бумажном носителе и в электронном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7.2. Годовой отчет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результаты реализации муниципальных программ и основных мероприятий (мероприятий) подпрограмм по форме согласно приложению № 9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индикаторов и показателей муниципальной программы, подпрограмм муниципальной программы (программ) согласно приложению № 10 к настоящему Порядку с обоснованием отклонений по целевым показателям (индикаторам), плановые значения которых не достигнуты;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информацию об использовании бюджетных ассигнований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реализации основных мероприятий (мероприятий) подпрограмм муниципальной программы за счет всех источников финансирования по формам согласно приложениям № 11, 12, 13 к настоящему Порядку;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данные, необходимые для оценки эффективности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иную информацию, необходимую для проведения анализа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7.3. Годовой доклад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основные результаты, достигнутые в отчетном году;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и иных средств на реализацию основных мероприятий (мероприятий)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информацию об изменениях, внесенных в муниципальную программу;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муниципальных правовых актов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7.5.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7.6. Финансовый отдел представляет в отдел экономики информацию о кассовых расходах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на реализацию муниципальных программ: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раз в полугодие - до 20 числа месяца, следующего за отчетным полугодием;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ежегодно - до 25 февраля года, следующего за отчетным годом.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7.7. В рамках представления сведений об использовании бюджетных ассигнований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и иных средств на реализацию основных мероприятий (мероприятий) подпрограмм необходимо указать следующие сведения: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запланированные объемы бюджетных ассигнований за счет средств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  и иных средств на текущий год;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фактические расходы на дату представления отчета;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предложения по корректировке объема бюджетных ассигнований за счет средств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с обоснованием и оценкой их планируемого влияния на эффективность реализации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7.8. Предложения по дальнейшей реализации муниципальной  программы и их обоснование должны включать оценку необходимости корректировки муниципальной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7.9. Титульный лист к годовому отчету должен содержать следующую информацию: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муниципальной 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отчетный год;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дата составления годового отчета;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7.10. Отдел экономики ежегодно до 30 марта года, следующего за отчетным, разрабатывает и представляет на согласование в финансовый отдел сводный годовой доклад о ходе реализации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об оценке эффективности муниципальных программ (далее - сводный годовой доклад), который содержит: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обязательств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района, связанных с реализацией муниципальных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Финансовый отдел использует сводный годовой доклад при формировании материалов к проекту решения Собрания депутатов об исполнении бюджета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за отчетный финансовый год.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Согласованный с финансовым отделом сводный годовой доклад ежегодно в срок до 10 апреля года, следующего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отчетным, отдел экономики представляет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Уточненный сводный годовой доклад ежегодно в срок до 20 августа года, следующего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отчетным, отдел экономики представляет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и Цивильского района.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7.11. Годовой отчет и годовой доклад подлежат размещению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"Интернет".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в информационно-телекоммуникационной сети "Интернет".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7.12. В целях контроля реализации муниципальных программ отдел экономики один раз в полугодие осуществляет мониторинг реализации муниципальных программ ответственным исполнителем и соисполнителями.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7.13. Финансовый отдел представляет в отдел экономики информацию, необходимую для проведения мониторинга реализации муниципальных программ в части их финансового обеспечения.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7.14. Руководители ответственных исполнителей, соисполнителей и участников муниципальной программы несут персональную ответственность за не достижение целевых показателей (индикаторов) муниципальной  программы.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VIII.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8.1. Ответственный исполнитель: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обеспечивает разработку муниципальной программы, ее согласование с соисполнителями и участниками муниципальной программы и направляет в установленном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на утверждение главе администрации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формирует структуру муниципальной  программы, а также перечень соисполнителей и участников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заносит данные муниципальной программы в программу ГАСУ;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 муниципальной программы, а также конечных результатов ее реализации;</w:t>
      </w:r>
      <w:proofErr w:type="gramEnd"/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предоставляет по запросу отдела экономики и финансового отдела сведения, необходимые для проведения мониторинга реализации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 программы информацию, необходимую для подготовки ответов на запросы отдела экономики и финансового отдела;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 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рекомендует соисполнителям осуществить разработку основных мероприятий (мероприятий) и планов;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AB1">
        <w:rPr>
          <w:rFonts w:ascii="Times New Roman" w:hAnsi="Times New Roman" w:cs="Times New Roman"/>
          <w:sz w:val="24"/>
          <w:szCs w:val="24"/>
        </w:rPr>
        <w:t>подготавливает и представляет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в отдел экономики и финансовый отдел годовой отчет и годовой доклад;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8.2. Соисполнители: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8.3. Участники муниципальной программы: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3F5B32" w:rsidRPr="00EE1AB1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8.4. Ответственный исполнитель, соисполнители, участники муниципальной программы представляют по запросу сектора экономики и финансового отдела дополнительную (уточненную) информацию о ходе реализации муниципальной программы.</w:t>
      </w:r>
    </w:p>
    <w:p w:rsidR="003F5B32" w:rsidRDefault="003F5B32" w:rsidP="003F5B32">
      <w:pPr>
        <w:jc w:val="both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 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Паспорт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программы, их значениях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2631"/>
        <w:gridCol w:w="1300"/>
        <w:gridCol w:w="1106"/>
        <w:gridCol w:w="1014"/>
        <w:gridCol w:w="1197"/>
        <w:gridCol w:w="1408"/>
        <w:gridCol w:w="1240"/>
      </w:tblGrid>
      <w:tr w:rsidR="003F5B32" w:rsidRPr="00EE1AB1" w:rsidTr="003F5B32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B32" w:rsidRPr="00EE1AB1" w:rsidTr="003F5B32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(программа)</w:t>
            </w: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2778"/>
        <w:gridCol w:w="2268"/>
        <w:gridCol w:w="1650"/>
      </w:tblGrid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</w:tr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</w:tr>
      <w:tr w:rsidR="003F5B32" w:rsidRPr="00EE1AB1" w:rsidTr="003F5B3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по муниципальной программе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4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8"/>
        <w:gridCol w:w="1197"/>
        <w:gridCol w:w="1385"/>
        <w:gridCol w:w="1315"/>
        <w:gridCol w:w="1197"/>
        <w:gridCol w:w="1353"/>
        <w:gridCol w:w="1431"/>
      </w:tblGrid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на оказание муниципальной услуги,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  <w:sectPr w:rsidR="003F5B32" w:rsidRPr="00EE1AB1" w:rsidSect="003F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4"/>
        <w:gridCol w:w="1243"/>
        <w:gridCol w:w="1243"/>
        <w:gridCol w:w="1216"/>
        <w:gridCol w:w="1159"/>
        <w:gridCol w:w="840"/>
        <w:gridCol w:w="763"/>
        <w:gridCol w:w="972"/>
        <w:gridCol w:w="1351"/>
        <w:gridCol w:w="862"/>
        <w:gridCol w:w="850"/>
        <w:gridCol w:w="850"/>
        <w:gridCol w:w="289"/>
      </w:tblGrid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 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(основного мероприятия, мероприятия)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ar493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Республики </w:t>
            </w:r>
            <w:hyperlink w:anchor="Par494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  <w:hyperlink w:anchor="Par495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hyperlink w:anchor="Par496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муниципальной  программы, подпрограммы, увязанные с основным мероприятием 1.1</w:t>
            </w:r>
          </w:p>
        </w:tc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федеральный бюджет указывается в соответствии с ресурсным обеспечением реализации муниципальной программы за счет субсидий, субвенций и иных межбюджетных трансфертов, предоставляемых бюджету Цивильского района из федерального бюджета.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местные бюджеты указываются в соответствии с ресурсным обеспечением реализации муниципальной программы за счет средств местных бюджетов.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десь и далее в таблице средства хозяйственных обществ с муниципальным  участием, муниципальных унитарных предприятий, общественных, научных и иных организаций, предусмотренные на реализацию Программы.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  <w:sectPr w:rsidR="003F5B32" w:rsidRPr="00EE1AB1" w:rsidSect="003F5B32">
          <w:pgSz w:w="16838" w:h="11906" w:orient="landscape"/>
          <w:pgMar w:top="1701" w:right="2946" w:bottom="851" w:left="1134" w:header="709" w:footer="709" w:gutter="0"/>
          <w:cols w:space="708"/>
          <w:docGrid w:linePitch="360"/>
        </w:sect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1376"/>
        <w:gridCol w:w="1282"/>
        <w:gridCol w:w="839"/>
        <w:gridCol w:w="1497"/>
        <w:gridCol w:w="950"/>
        <w:gridCol w:w="936"/>
        <w:gridCol w:w="936"/>
        <w:gridCol w:w="263"/>
      </w:tblGrid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(основного мероприятия)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 (программа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План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1"/>
        <w:gridCol w:w="1731"/>
        <w:gridCol w:w="1292"/>
        <w:gridCol w:w="1292"/>
        <w:gridCol w:w="2041"/>
        <w:gridCol w:w="1701"/>
        <w:gridCol w:w="1924"/>
      </w:tblGrid>
      <w:tr w:rsidR="003F5B32" w:rsidRPr="00EE1AB1" w:rsidTr="003F5B32">
        <w:trPr>
          <w:jc w:val="center"/>
        </w:trPr>
        <w:tc>
          <w:tcPr>
            <w:tcW w:w="2503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Цивильского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1458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43" w:type="dxa"/>
            <w:gridSpan w:val="2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89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33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(бюджет Цивильского района)</w:t>
            </w:r>
          </w:p>
        </w:tc>
        <w:tc>
          <w:tcPr>
            <w:tcW w:w="1412" w:type="dxa"/>
            <w:vMerge w:val="restart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89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50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58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7893" w:type="dxa"/>
            <w:gridSpan w:val="5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3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Паспорт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5"/>
        <w:gridCol w:w="4444"/>
      </w:tblGrid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trHeight w:val="39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trHeight w:val="34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Отчет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 реализации основных мероприятий (мероприятий)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_______ год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4758"/>
        <w:gridCol w:w="2074"/>
        <w:gridCol w:w="1808"/>
      </w:tblGrid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 Цивильского района (подпрограммы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района), основного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w:anchor="Par47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ar48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«...»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казываются значения "выполнено", "не выполнено", "частично выполнено".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редставляется краткая информация о проделанной работе и о достижении (не достижении) установленных целевых показателей (индикаторов) муниципальной программы (подпрограммы муниципальной программы). В случае не достижения установленных целевых показателей (индикаторов) муниципальной  программы (подпрограммы муниципальной программы) представляются пояснения причин не достижения.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495A48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5B32" w:rsidRPr="00EE1AB1">
        <w:rPr>
          <w:rFonts w:ascii="Times New Roman" w:hAnsi="Times New Roman" w:cs="Times New Roman"/>
          <w:sz w:val="24"/>
          <w:szCs w:val="24"/>
        </w:rPr>
        <w:t>риложение № 10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Сведения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программы, подпрограмм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200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"/>
        <w:gridCol w:w="1623"/>
        <w:gridCol w:w="1200"/>
        <w:gridCol w:w="1959"/>
        <w:gridCol w:w="1822"/>
        <w:gridCol w:w="1372"/>
        <w:gridCol w:w="608"/>
        <w:gridCol w:w="1478"/>
        <w:gridCol w:w="2778"/>
      </w:tblGrid>
      <w:tr w:rsidR="003F5B32" w:rsidRPr="00EE1AB1" w:rsidTr="0084231D">
        <w:trPr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подпрограммы муниципальной программы Цивильского района (программы)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84231D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(программы) на текущий год (план)</w:t>
            </w: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1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(программа)</w:t>
            </w: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84231D">
        <w:trPr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>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A">
        <w:rPr>
          <w:rFonts w:ascii="Times New Roman" w:hAnsi="Times New Roman" w:cs="Times New Roman"/>
          <w:sz w:val="24"/>
          <w:szCs w:val="24"/>
        </w:rPr>
        <w:t>Тувсинского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1AB1">
        <w:rPr>
          <w:rFonts w:ascii="Times New Roman" w:hAnsi="Times New Roman" w:cs="Times New Roman"/>
          <w:sz w:val="24"/>
          <w:szCs w:val="24"/>
        </w:rPr>
        <w:t xml:space="preserve"> Цивильского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B1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6"/>
        <w:gridCol w:w="1737"/>
        <w:gridCol w:w="1091"/>
        <w:gridCol w:w="1411"/>
        <w:gridCol w:w="1737"/>
        <w:gridCol w:w="1737"/>
      </w:tblGrid>
      <w:tr w:rsidR="003F5B32" w:rsidRPr="00EE1AB1" w:rsidTr="003F5B32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программы)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план расходов на отчетный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отчетный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план расходов с начала реализации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программы)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с начала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программы)</w:t>
            </w: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2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Информация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о финансировании реализации муниципальной программы</w:t>
      </w:r>
    </w:p>
    <w:p w:rsidR="003F5B32" w:rsidRPr="00EE1AB1" w:rsidRDefault="003F5B32" w:rsidP="003F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_______ год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19"/>
        <w:gridCol w:w="2438"/>
        <w:gridCol w:w="1155"/>
        <w:gridCol w:w="1485"/>
      </w:tblGrid>
      <w:tr w:rsidR="003F5B32" w:rsidRPr="00EE1AB1" w:rsidTr="003F5B3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(подпрограммы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района),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План, тыс. рублей </w:t>
            </w:r>
            <w:hyperlink w:anchor="Par59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расходы, тыс. рублей </w:t>
            </w:r>
            <w:hyperlink w:anchor="Par60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 (Программа)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соответствии с муниципальной программой.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&lt;2&gt; Кассовые расходы федерального бюджета, республиканского бюджета Чувашской Республики, бюджета Цивильского района, бюджетов сельских поселений, внебюджетные источники.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  <w:sectPr w:rsidR="003F5B32" w:rsidRPr="00EE1AB1" w:rsidSect="003F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к Порядку разработки и реализации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F5B32" w:rsidRPr="00EE1AB1" w:rsidRDefault="00DE6B7A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Тувсинского</w:t>
      </w:r>
      <w:r w:rsidR="003F5B32" w:rsidRPr="00EE1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5B32" w:rsidRPr="00EE1AB1" w:rsidRDefault="003F5B32" w:rsidP="003F5B32">
      <w:pPr>
        <w:jc w:val="right"/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Информация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о финансировании реализации основных мероприятий (мероприятий)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подпрограмм муниципальной  программы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за _______ год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1277"/>
        <w:gridCol w:w="1245"/>
        <w:gridCol w:w="1190"/>
        <w:gridCol w:w="862"/>
        <w:gridCol w:w="783"/>
        <w:gridCol w:w="941"/>
        <w:gridCol w:w="1389"/>
        <w:gridCol w:w="887"/>
        <w:gridCol w:w="1425"/>
        <w:gridCol w:w="467"/>
        <w:gridCol w:w="705"/>
        <w:gridCol w:w="705"/>
        <w:gridCol w:w="467"/>
        <w:gridCol w:w="1029"/>
      </w:tblGrid>
      <w:tr w:rsidR="003F5B32" w:rsidRPr="00EE1AB1" w:rsidTr="003F5B32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района, основного мероприятия (мероприятия),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за год, предшествующий </w:t>
            </w:r>
            <w:proofErr w:type="gram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5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Плановые данные на очередной финансовый год</w:t>
            </w: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ar626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сводная роспись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сводная роспись на 31 декабря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hyperlink w:anchor="Par627" w:history="1">
              <w:r w:rsidRPr="00EE1AB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муниципальной программы (подпрограммы)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7A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2" w:rsidRPr="00EE1AB1" w:rsidTr="003F5B32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B32" w:rsidRPr="00EE1AB1" w:rsidRDefault="003F5B32" w:rsidP="003F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E1AB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E1AB1">
        <w:rPr>
          <w:rFonts w:ascii="Times New Roman" w:hAnsi="Times New Roman" w:cs="Times New Roman"/>
          <w:sz w:val="24"/>
          <w:szCs w:val="24"/>
        </w:rPr>
        <w:t xml:space="preserve"> соответствии с муниципальной программой.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  <w:r w:rsidRPr="00EE1AB1">
        <w:rPr>
          <w:rFonts w:ascii="Times New Roman" w:hAnsi="Times New Roman" w:cs="Times New Roman"/>
          <w:sz w:val="24"/>
          <w:szCs w:val="24"/>
        </w:rPr>
        <w:t>&lt;3&gt; Кассовые расходы за счет средств федерального бюджета, республиканского бюджета Чувашской Республики, бюджета Цивильского района, бюджетов сельских поселений, внебюджетных источников.</w:t>
      </w: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3F5B32" w:rsidRPr="00EE1AB1" w:rsidRDefault="003F5B32" w:rsidP="003F5B32">
      <w:pPr>
        <w:rPr>
          <w:rFonts w:ascii="Times New Roman" w:hAnsi="Times New Roman" w:cs="Times New Roman"/>
          <w:sz w:val="24"/>
          <w:szCs w:val="24"/>
        </w:rPr>
      </w:pPr>
    </w:p>
    <w:p w:rsidR="00DF2C09" w:rsidRDefault="00DF2C09"/>
    <w:sectPr w:rsidR="00DF2C09" w:rsidSect="003F5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B32"/>
    <w:rsid w:val="001A2696"/>
    <w:rsid w:val="002712BD"/>
    <w:rsid w:val="00346232"/>
    <w:rsid w:val="003F5B32"/>
    <w:rsid w:val="00481492"/>
    <w:rsid w:val="00495A48"/>
    <w:rsid w:val="00497A51"/>
    <w:rsid w:val="006C5765"/>
    <w:rsid w:val="0084231D"/>
    <w:rsid w:val="00A40805"/>
    <w:rsid w:val="00DE6B7A"/>
    <w:rsid w:val="00D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3F5B32"/>
    <w:rPr>
      <w:b/>
      <w:bCs/>
      <w:color w:val="000080"/>
    </w:rPr>
  </w:style>
  <w:style w:type="paragraph" w:customStyle="1" w:styleId="a4">
    <w:name w:val="Таблицы (моноширинный)"/>
    <w:basedOn w:val="a"/>
    <w:rsid w:val="003F5B3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9500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povar</dc:creator>
  <cp:keywords/>
  <dc:description/>
  <cp:lastModifiedBy>Admin</cp:lastModifiedBy>
  <cp:revision>8</cp:revision>
  <cp:lastPrinted>2022-03-14T11:00:00Z</cp:lastPrinted>
  <dcterms:created xsi:type="dcterms:W3CDTF">2021-10-15T05:48:00Z</dcterms:created>
  <dcterms:modified xsi:type="dcterms:W3CDTF">2022-03-14T11:06:00Z</dcterms:modified>
</cp:coreProperties>
</file>