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80"/>
        <w:tblW w:w="0" w:type="auto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ED6CF5" w:rsidRPr="00BE04A6" w:rsidTr="00FF2E60">
        <w:tc>
          <w:tcPr>
            <w:tcW w:w="2766" w:type="dxa"/>
            <w:vAlign w:val="center"/>
            <w:hideMark/>
          </w:tcPr>
          <w:p w:rsidR="00ED6CF5" w:rsidRPr="00BE04A6" w:rsidRDefault="00ED6CF5" w:rsidP="00FF2E60">
            <w:pPr>
              <w:ind w:left="-362" w:firstLine="362"/>
              <w:jc w:val="center"/>
              <w:rPr>
                <w:sz w:val="16"/>
                <w:szCs w:val="16"/>
              </w:rPr>
            </w:pPr>
            <w:r w:rsidRPr="00BE04A6"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4AE1075F" wp14:editId="35E49750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ED6CF5" w:rsidRPr="00BE04A6" w:rsidRDefault="00ED6CF5" w:rsidP="00FF2E60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Информационный бюллетень</w:t>
            </w:r>
          </w:p>
          <w:p w:rsidR="00ED6CF5" w:rsidRPr="00BE04A6" w:rsidRDefault="00ED6CF5" w:rsidP="00FF2E60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Вестник</w:t>
            </w:r>
          </w:p>
          <w:p w:rsidR="00ED6CF5" w:rsidRPr="00BE04A6" w:rsidRDefault="00ED6CF5" w:rsidP="00FF2E60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Яльчикского сельского поселения</w:t>
            </w:r>
          </w:p>
          <w:p w:rsidR="00ED6CF5" w:rsidRPr="00BE04A6" w:rsidRDefault="00ED6CF5" w:rsidP="00FF2E60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Яльчикского района</w:t>
            </w:r>
          </w:p>
          <w:p w:rsidR="00ED6CF5" w:rsidRPr="00BE04A6" w:rsidRDefault="00ED6CF5" w:rsidP="00FF2E60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ED6CF5" w:rsidRPr="00BE04A6" w:rsidRDefault="00ED6CF5" w:rsidP="00FF2E60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 xml:space="preserve">Утвержден Решением Собрания депутатов Яльчикского сельского поселения </w:t>
            </w:r>
          </w:p>
          <w:p w:rsidR="00ED6CF5" w:rsidRPr="00BE04A6" w:rsidRDefault="00ED6CF5" w:rsidP="00FF2E60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Яльчикского района</w:t>
            </w:r>
          </w:p>
          <w:p w:rsidR="00ED6CF5" w:rsidRPr="00BE04A6" w:rsidRDefault="00ED6CF5" w:rsidP="00FF2E60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 xml:space="preserve">Чувашской Республики </w:t>
            </w:r>
          </w:p>
          <w:p w:rsidR="00ED6CF5" w:rsidRPr="00BE04A6" w:rsidRDefault="00ED6CF5" w:rsidP="00FF2E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 </w:t>
            </w:r>
            <w:r w:rsidRPr="00BE04A6">
              <w:rPr>
                <w:b/>
                <w:sz w:val="16"/>
                <w:szCs w:val="16"/>
              </w:rPr>
              <w:t>01.02.2008 г. № 2/4-с</w:t>
            </w:r>
          </w:p>
        </w:tc>
      </w:tr>
    </w:tbl>
    <w:p w:rsidR="00ED6CF5" w:rsidRPr="00BE04A6" w:rsidRDefault="00ED6CF5" w:rsidP="00ED6CF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6CF5" w:rsidRPr="00BE04A6" w:rsidRDefault="00ED6CF5" w:rsidP="00ED6CF5">
      <w:pPr>
        <w:tabs>
          <w:tab w:val="left" w:pos="1215"/>
        </w:tabs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  <w:r w:rsidRPr="00BE04A6">
        <w:rPr>
          <w:rFonts w:eastAsiaTheme="minorHAnsi"/>
          <w:sz w:val="16"/>
          <w:szCs w:val="16"/>
          <w:lang w:eastAsia="en-US"/>
        </w:rPr>
        <w:tab/>
      </w:r>
      <w:r w:rsidR="001E34F0">
        <w:rPr>
          <w:rFonts w:eastAsiaTheme="minorHAnsi"/>
          <w:b/>
          <w:sz w:val="16"/>
          <w:szCs w:val="16"/>
          <w:lang w:eastAsia="en-US"/>
        </w:rPr>
        <w:t xml:space="preserve">   22</w:t>
      </w:r>
      <w:r w:rsidRPr="00BE04A6">
        <w:rPr>
          <w:rFonts w:eastAsiaTheme="minorHAnsi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</w:t>
      </w:r>
      <w:r w:rsidR="001E34F0">
        <w:rPr>
          <w:rFonts w:eastAsiaTheme="minorHAnsi"/>
          <w:b/>
          <w:sz w:val="16"/>
          <w:szCs w:val="16"/>
          <w:lang w:eastAsia="en-US"/>
        </w:rPr>
        <w:t xml:space="preserve">                             05</w:t>
      </w:r>
      <w:r>
        <w:rPr>
          <w:rFonts w:eastAsiaTheme="minorHAnsi"/>
          <w:b/>
          <w:sz w:val="16"/>
          <w:szCs w:val="16"/>
          <w:lang w:eastAsia="en-US"/>
        </w:rPr>
        <w:t>.06.2020</w:t>
      </w:r>
    </w:p>
    <w:p w:rsidR="00ED6CF5" w:rsidRDefault="00ED6CF5" w:rsidP="00ED6CF5">
      <w:pPr>
        <w:jc w:val="both"/>
        <w:rPr>
          <w:sz w:val="20"/>
          <w:szCs w:val="20"/>
        </w:rPr>
      </w:pPr>
    </w:p>
    <w:p w:rsidR="001E34F0" w:rsidRDefault="001E34F0" w:rsidP="00ED6CF5">
      <w:pPr>
        <w:jc w:val="both"/>
        <w:rPr>
          <w:sz w:val="20"/>
          <w:szCs w:val="20"/>
        </w:rPr>
      </w:pPr>
    </w:p>
    <w:p w:rsidR="001E34F0" w:rsidRDefault="001E34F0" w:rsidP="00ED6CF5">
      <w:pPr>
        <w:jc w:val="both"/>
        <w:rPr>
          <w:sz w:val="20"/>
          <w:szCs w:val="20"/>
        </w:rPr>
      </w:pPr>
    </w:p>
    <w:p w:rsidR="001E34F0" w:rsidRDefault="001E34F0" w:rsidP="00ED6CF5">
      <w:pPr>
        <w:jc w:val="both"/>
        <w:rPr>
          <w:sz w:val="20"/>
          <w:szCs w:val="20"/>
        </w:rPr>
      </w:pPr>
    </w:p>
    <w:p w:rsidR="001E34F0" w:rsidRDefault="001E34F0" w:rsidP="00ED6CF5">
      <w:pPr>
        <w:jc w:val="both"/>
        <w:rPr>
          <w:sz w:val="20"/>
          <w:szCs w:val="20"/>
        </w:rPr>
      </w:pPr>
    </w:p>
    <w:p w:rsidR="001E34F0" w:rsidRDefault="001E34F0" w:rsidP="00ED6CF5">
      <w:pPr>
        <w:jc w:val="both"/>
        <w:rPr>
          <w:sz w:val="20"/>
          <w:szCs w:val="20"/>
        </w:rPr>
      </w:pPr>
    </w:p>
    <w:p w:rsidR="001E34F0" w:rsidRPr="001E34F0" w:rsidRDefault="001E34F0" w:rsidP="001E34F0">
      <w:pPr>
        <w:shd w:val="clear" w:color="auto" w:fill="E8DFC2"/>
        <w:spacing w:before="100" w:beforeAutospacing="1" w:after="100" w:afterAutospacing="1" w:line="335" w:lineRule="atLeast"/>
        <w:outlineLvl w:val="0"/>
        <w:rPr>
          <w:b/>
          <w:bCs/>
          <w:color w:val="805A3F"/>
          <w:kern w:val="36"/>
          <w:sz w:val="28"/>
          <w:szCs w:val="28"/>
        </w:rPr>
      </w:pPr>
      <w:r w:rsidRPr="001E34F0">
        <w:rPr>
          <w:b/>
          <w:bCs/>
          <w:color w:val="805A3F"/>
          <w:kern w:val="36"/>
          <w:sz w:val="28"/>
          <w:szCs w:val="28"/>
        </w:rPr>
        <w:t>Ответственность за заведомое оставление без помощи лица, находящегося в опасном для жизни или здоровья состоянии</w:t>
      </w:r>
    </w:p>
    <w:p w:rsidR="001E34F0" w:rsidRPr="001E34F0" w:rsidRDefault="001E34F0" w:rsidP="001E34F0">
      <w:pPr>
        <w:shd w:val="clear" w:color="auto" w:fill="F5F5F5"/>
        <w:ind w:firstLine="709"/>
        <w:jc w:val="both"/>
        <w:rPr>
          <w:color w:val="000000"/>
          <w:sz w:val="28"/>
          <w:szCs w:val="28"/>
        </w:rPr>
      </w:pPr>
      <w:r w:rsidRPr="001E34F0">
        <w:rPr>
          <w:color w:val="000000"/>
          <w:sz w:val="28"/>
          <w:szCs w:val="28"/>
        </w:rPr>
        <w:t>С наступлением теплой погоды в области участились случаи падения детей из окон многоэтажных домов. Особенно этот вопрос становится актуальным в связи с нахождением родителей и детей на самоизоляции.</w:t>
      </w:r>
    </w:p>
    <w:p w:rsidR="001E34F0" w:rsidRPr="001E34F0" w:rsidRDefault="001E34F0" w:rsidP="001E34F0">
      <w:pPr>
        <w:shd w:val="clear" w:color="auto" w:fill="F5F5F5"/>
        <w:ind w:firstLine="709"/>
        <w:jc w:val="both"/>
        <w:rPr>
          <w:color w:val="000000"/>
          <w:sz w:val="28"/>
          <w:szCs w:val="28"/>
        </w:rPr>
      </w:pPr>
      <w:r w:rsidRPr="001E34F0">
        <w:rPr>
          <w:color w:val="000000"/>
          <w:sz w:val="28"/>
          <w:szCs w:val="28"/>
        </w:rPr>
        <w:t>В текущем месяце уже зарегистрировано 2 таких несчастных случая, возраст несовершеннолетних составил от 1 до 3 лет.</w:t>
      </w:r>
    </w:p>
    <w:p w:rsidR="001E34F0" w:rsidRPr="001E34F0" w:rsidRDefault="001E34F0" w:rsidP="001E34F0">
      <w:pPr>
        <w:shd w:val="clear" w:color="auto" w:fill="F5F5F5"/>
        <w:ind w:firstLine="709"/>
        <w:jc w:val="both"/>
        <w:rPr>
          <w:color w:val="000000"/>
          <w:sz w:val="28"/>
          <w:szCs w:val="28"/>
        </w:rPr>
      </w:pPr>
      <w:r w:rsidRPr="001E34F0">
        <w:rPr>
          <w:color w:val="000000"/>
          <w:sz w:val="28"/>
          <w:szCs w:val="28"/>
        </w:rPr>
        <w:t xml:space="preserve">Основными причинами </w:t>
      </w:r>
      <w:proofErr w:type="spellStart"/>
      <w:r w:rsidRPr="001E34F0">
        <w:rPr>
          <w:color w:val="000000"/>
          <w:sz w:val="28"/>
          <w:szCs w:val="28"/>
        </w:rPr>
        <w:t>травмирования</w:t>
      </w:r>
      <w:proofErr w:type="spellEnd"/>
      <w:r w:rsidRPr="001E34F0">
        <w:rPr>
          <w:color w:val="000000"/>
          <w:sz w:val="28"/>
          <w:szCs w:val="28"/>
        </w:rPr>
        <w:t xml:space="preserve"> малолетних явились: беспечность родителей, открытые окна в квартирах и натянутые на них противомоскитные сетки, создающие иллюзию безопасности.</w:t>
      </w:r>
    </w:p>
    <w:p w:rsidR="001E34F0" w:rsidRPr="001E34F0" w:rsidRDefault="001E34F0" w:rsidP="001E34F0">
      <w:pPr>
        <w:shd w:val="clear" w:color="auto" w:fill="F5F5F5"/>
        <w:ind w:firstLine="709"/>
        <w:jc w:val="both"/>
        <w:rPr>
          <w:color w:val="000000"/>
          <w:sz w:val="28"/>
          <w:szCs w:val="28"/>
        </w:rPr>
      </w:pPr>
      <w:r w:rsidRPr="001E34F0">
        <w:rPr>
          <w:color w:val="000000"/>
          <w:sz w:val="28"/>
          <w:szCs w:val="28"/>
        </w:rPr>
        <w:t>Таким образом, недостаток контроля взрослыми за поведением детей, рассеянность родных и близких, забывающих закрыть окна и отсутствие на них блокираторов или оконных ручек-замков, неправильная расстановка мебели, дающая возможность несовершеннолетним самостоятельно забираться на подоконники, может привести к серьезной трагедии, в том числе гибели малолетних.</w:t>
      </w:r>
    </w:p>
    <w:p w:rsidR="001E34F0" w:rsidRPr="001E34F0" w:rsidRDefault="001E34F0" w:rsidP="001E34F0">
      <w:pPr>
        <w:shd w:val="clear" w:color="auto" w:fill="F5F5F5"/>
        <w:ind w:firstLine="709"/>
        <w:jc w:val="both"/>
        <w:rPr>
          <w:color w:val="000000"/>
          <w:sz w:val="28"/>
          <w:szCs w:val="28"/>
        </w:rPr>
      </w:pPr>
      <w:r w:rsidRPr="001E34F0">
        <w:rPr>
          <w:color w:val="000000"/>
          <w:sz w:val="28"/>
          <w:szCs w:val="28"/>
        </w:rPr>
        <w:t>Вместе с тем статьей 125 Уголовного кодекса Российской Федерации предусмотрена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состояние.</w:t>
      </w:r>
    </w:p>
    <w:p w:rsidR="001E34F0" w:rsidRPr="001E34F0" w:rsidRDefault="001E34F0" w:rsidP="001E34F0">
      <w:pPr>
        <w:shd w:val="clear" w:color="auto" w:fill="F5F5F5"/>
        <w:ind w:firstLine="709"/>
        <w:jc w:val="both"/>
        <w:rPr>
          <w:color w:val="000000"/>
          <w:sz w:val="28"/>
          <w:szCs w:val="28"/>
        </w:rPr>
      </w:pPr>
      <w:r w:rsidRPr="001E34F0">
        <w:rPr>
          <w:color w:val="000000"/>
          <w:sz w:val="28"/>
          <w:szCs w:val="28"/>
        </w:rPr>
        <w:t>В целях предупреждения травматизма и несчастных случаев с несовершеннолетними, родителям необходимо более бдительно следить за детьми и помнить, что соблюдение мер предосторожности поможет сохранить вашему ребенку жизнь.</w:t>
      </w:r>
    </w:p>
    <w:p w:rsidR="001E34F0" w:rsidRPr="001E34F0" w:rsidRDefault="001E34F0" w:rsidP="001E34F0">
      <w:pPr>
        <w:spacing w:line="240" w:lineRule="exact"/>
        <w:ind w:right="-187" w:firstLine="720"/>
        <w:jc w:val="both"/>
        <w:rPr>
          <w:sz w:val="28"/>
          <w:szCs w:val="28"/>
        </w:rPr>
      </w:pPr>
      <w:r w:rsidRPr="001E34F0">
        <w:rPr>
          <w:color w:val="000000"/>
          <w:sz w:val="28"/>
          <w:szCs w:val="28"/>
        </w:rPr>
        <w:t> </w:t>
      </w:r>
    </w:p>
    <w:p w:rsidR="001E34F0" w:rsidRPr="001E34F0" w:rsidRDefault="001E34F0" w:rsidP="001E34F0">
      <w:pPr>
        <w:spacing w:line="240" w:lineRule="exact"/>
        <w:ind w:right="-187"/>
        <w:jc w:val="both"/>
        <w:rPr>
          <w:sz w:val="28"/>
          <w:szCs w:val="28"/>
        </w:rPr>
      </w:pPr>
    </w:p>
    <w:p w:rsidR="001E34F0" w:rsidRPr="001E34F0" w:rsidRDefault="001E34F0" w:rsidP="00ED6CF5">
      <w:pPr>
        <w:jc w:val="both"/>
        <w:rPr>
          <w:sz w:val="28"/>
          <w:szCs w:val="28"/>
        </w:rPr>
      </w:pPr>
    </w:p>
    <w:p w:rsidR="001E34F0" w:rsidRPr="001E34F0" w:rsidRDefault="001E34F0" w:rsidP="00ED6CF5">
      <w:pPr>
        <w:jc w:val="both"/>
        <w:rPr>
          <w:sz w:val="28"/>
          <w:szCs w:val="28"/>
        </w:rPr>
      </w:pPr>
    </w:p>
    <w:p w:rsidR="001E34F0" w:rsidRDefault="001E34F0" w:rsidP="001E34F0">
      <w:pPr>
        <w:rPr>
          <w:sz w:val="28"/>
          <w:szCs w:val="28"/>
        </w:rPr>
      </w:pPr>
    </w:p>
    <w:p w:rsidR="001E34F0" w:rsidRPr="001E34F0" w:rsidRDefault="001E34F0" w:rsidP="001E34F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34F0">
        <w:rPr>
          <w:rFonts w:eastAsia="Calibri"/>
          <w:b/>
          <w:sz w:val="28"/>
          <w:szCs w:val="28"/>
          <w:lang w:eastAsia="en-US"/>
        </w:rPr>
        <w:lastRenderedPageBreak/>
        <w:t>Статья: «Незаконная перевозка заготовленной древесины»</w:t>
      </w:r>
    </w:p>
    <w:p w:rsidR="001E34F0" w:rsidRPr="001E34F0" w:rsidRDefault="001E34F0" w:rsidP="001E34F0">
      <w:pPr>
        <w:jc w:val="center"/>
        <w:rPr>
          <w:rFonts w:eastAsia="Calibri"/>
          <w:sz w:val="28"/>
          <w:szCs w:val="28"/>
          <w:lang w:eastAsia="en-US"/>
        </w:rPr>
      </w:pPr>
    </w:p>
    <w:p w:rsidR="001E34F0" w:rsidRPr="001E34F0" w:rsidRDefault="001E34F0" w:rsidP="001E34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34F0">
        <w:rPr>
          <w:rFonts w:eastAsia="Calibri"/>
          <w:sz w:val="28"/>
          <w:szCs w:val="28"/>
          <w:lang w:eastAsia="en-US"/>
        </w:rPr>
        <w:t xml:space="preserve">Прокуратурой Яльчикского района по факту незаконной порубки лесных ресурсов не территории Яльчикского района, совершенной лесником </w:t>
      </w:r>
      <w:proofErr w:type="spellStart"/>
      <w:r w:rsidRPr="001E34F0">
        <w:rPr>
          <w:rFonts w:eastAsia="Calibri"/>
          <w:sz w:val="28"/>
          <w:szCs w:val="28"/>
          <w:lang w:eastAsia="en-US"/>
        </w:rPr>
        <w:t>Трехболтаевского</w:t>
      </w:r>
      <w:proofErr w:type="spellEnd"/>
      <w:r w:rsidRPr="001E34F0">
        <w:rPr>
          <w:rFonts w:eastAsia="Calibri"/>
          <w:sz w:val="28"/>
          <w:szCs w:val="28"/>
          <w:lang w:eastAsia="en-US"/>
        </w:rPr>
        <w:t xml:space="preserve"> участкового лесничества БУ «</w:t>
      </w:r>
      <w:proofErr w:type="spellStart"/>
      <w:r w:rsidRPr="001E34F0">
        <w:rPr>
          <w:rFonts w:eastAsia="Calibri"/>
          <w:sz w:val="28"/>
          <w:szCs w:val="28"/>
          <w:lang w:eastAsia="en-US"/>
        </w:rPr>
        <w:t>Шемуршинское</w:t>
      </w:r>
      <w:proofErr w:type="spellEnd"/>
      <w:r w:rsidRPr="001E34F0">
        <w:rPr>
          <w:rFonts w:eastAsia="Calibri"/>
          <w:sz w:val="28"/>
          <w:szCs w:val="28"/>
          <w:lang w:eastAsia="en-US"/>
        </w:rPr>
        <w:t xml:space="preserve"> лесничество» Минприроды Чувашии в мае 2020 года, проведена проверка на предмет нарушений требований действующего лесного законодательства.</w:t>
      </w:r>
    </w:p>
    <w:p w:rsidR="001E34F0" w:rsidRPr="001E34F0" w:rsidRDefault="001E34F0" w:rsidP="001E34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34F0">
        <w:rPr>
          <w:rFonts w:eastAsia="Calibri"/>
          <w:sz w:val="28"/>
          <w:szCs w:val="28"/>
          <w:lang w:eastAsia="en-US"/>
        </w:rPr>
        <w:t xml:space="preserve">Лесник </w:t>
      </w:r>
      <w:proofErr w:type="spellStart"/>
      <w:r w:rsidRPr="001E34F0">
        <w:rPr>
          <w:rFonts w:eastAsia="Calibri"/>
          <w:sz w:val="28"/>
          <w:szCs w:val="28"/>
          <w:lang w:eastAsia="en-US"/>
        </w:rPr>
        <w:t>Трехболтаевского</w:t>
      </w:r>
      <w:proofErr w:type="spellEnd"/>
      <w:r w:rsidRPr="001E34F0">
        <w:rPr>
          <w:rFonts w:eastAsia="Calibri"/>
          <w:sz w:val="28"/>
          <w:szCs w:val="28"/>
          <w:lang w:eastAsia="en-US"/>
        </w:rPr>
        <w:t xml:space="preserve"> участкового лесничества БУ «</w:t>
      </w:r>
      <w:proofErr w:type="spellStart"/>
      <w:r w:rsidRPr="001E34F0">
        <w:rPr>
          <w:rFonts w:eastAsia="Calibri"/>
          <w:sz w:val="28"/>
          <w:szCs w:val="28"/>
          <w:lang w:eastAsia="en-US"/>
        </w:rPr>
        <w:t>Шемуршинское</w:t>
      </w:r>
      <w:proofErr w:type="spellEnd"/>
      <w:r w:rsidRPr="001E34F0">
        <w:rPr>
          <w:rFonts w:eastAsia="Calibri"/>
          <w:sz w:val="28"/>
          <w:szCs w:val="28"/>
          <w:lang w:eastAsia="en-US"/>
        </w:rPr>
        <w:t xml:space="preserve"> лесничество» Минприроды Чувашии, используя свое служебное положение, без разрешения и не имея документов, дающих право на рубку леса, 14 мая 2020 года находясь на лесном участке </w:t>
      </w:r>
      <w:proofErr w:type="spellStart"/>
      <w:r w:rsidRPr="001E34F0">
        <w:rPr>
          <w:rFonts w:eastAsia="Calibri"/>
          <w:sz w:val="28"/>
          <w:szCs w:val="28"/>
          <w:lang w:eastAsia="en-US"/>
        </w:rPr>
        <w:t>Трехболтаевского</w:t>
      </w:r>
      <w:proofErr w:type="spellEnd"/>
      <w:r w:rsidRPr="001E34F0">
        <w:rPr>
          <w:rFonts w:eastAsia="Calibri"/>
          <w:sz w:val="28"/>
          <w:szCs w:val="28"/>
          <w:lang w:eastAsia="en-US"/>
        </w:rPr>
        <w:t xml:space="preserve"> участкового лесничества БУ «</w:t>
      </w:r>
      <w:proofErr w:type="spellStart"/>
      <w:r w:rsidRPr="001E34F0">
        <w:rPr>
          <w:rFonts w:eastAsia="Calibri"/>
          <w:sz w:val="28"/>
          <w:szCs w:val="28"/>
          <w:lang w:eastAsia="en-US"/>
        </w:rPr>
        <w:t>Шемуршинское</w:t>
      </w:r>
      <w:proofErr w:type="spellEnd"/>
      <w:r w:rsidRPr="001E34F0">
        <w:rPr>
          <w:rFonts w:eastAsia="Calibri"/>
          <w:sz w:val="28"/>
          <w:szCs w:val="28"/>
          <w:lang w:eastAsia="en-US"/>
        </w:rPr>
        <w:t xml:space="preserve"> лесничество» Минприроды Чувашии, незаконно срубил, используя бензопилу марки «</w:t>
      </w:r>
      <w:proofErr w:type="spellStart"/>
      <w:r w:rsidRPr="001E34F0">
        <w:rPr>
          <w:rFonts w:eastAsia="Calibri"/>
          <w:sz w:val="28"/>
          <w:szCs w:val="28"/>
          <w:lang w:eastAsia="en-US"/>
        </w:rPr>
        <w:t>Garant</w:t>
      </w:r>
      <w:proofErr w:type="spellEnd"/>
      <w:r w:rsidRPr="001E34F0">
        <w:rPr>
          <w:rFonts w:eastAsia="Calibri"/>
          <w:sz w:val="28"/>
          <w:szCs w:val="28"/>
          <w:lang w:eastAsia="en-US"/>
        </w:rPr>
        <w:t>», тринадцать деревьев породы сосна в общем объеме 17,55 куб. м., а затем злоупотребив доверием индивидуального предпринимателя, реализовал последнему за определенную плату в общей сумме 54 тыс. руб., причинив Минприроды Чувашии имущественный ущерб в особо крупном размере на сумму 530 189 руб. 15 коп. По данному факту следователем МО МВД России «Комсомольский» возбуждено уголовное дело в отношении лесника по ч.3 ст.260 УК РФ.</w:t>
      </w:r>
    </w:p>
    <w:p w:rsidR="001E34F0" w:rsidRPr="001E34F0" w:rsidRDefault="001E34F0" w:rsidP="001E34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34F0">
        <w:rPr>
          <w:rFonts w:eastAsia="Calibri"/>
          <w:sz w:val="28"/>
          <w:szCs w:val="28"/>
          <w:lang w:eastAsia="en-US"/>
        </w:rPr>
        <w:t xml:space="preserve">По результатам проверки в деятельности индивидуального предпринимателя, закупившего древесину у лесника, жителя Республики Татарстан прокуратурой района установлен состав административного правонарушения по факту перевозки закупленной древесины без соответствующего сопроводительного документа, на основании чего в отношении индивидуального предпринимателя возбуждено дело об административном правонарушении ответственность за которое предусмотрена ч.5 ст.8.28.1 КоАП РФ – транспортировка древесины без оформленного в установленном лесным законодательством порядке сопроводительного документа. </w:t>
      </w:r>
    </w:p>
    <w:p w:rsidR="001E34F0" w:rsidRPr="001E34F0" w:rsidRDefault="001E34F0" w:rsidP="001E34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34F0">
        <w:rPr>
          <w:rFonts w:eastAsia="Calibri"/>
          <w:sz w:val="28"/>
          <w:szCs w:val="28"/>
          <w:lang w:eastAsia="en-US"/>
        </w:rPr>
        <w:t>Административный материал направлен мировому судье на рассмотрение. Решение по делу не принято.</w:t>
      </w:r>
    </w:p>
    <w:p w:rsidR="001E34F0" w:rsidRPr="001E34F0" w:rsidRDefault="001E34F0" w:rsidP="001E34F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1E34F0" w:rsidRPr="001E34F0" w:rsidRDefault="001E34F0" w:rsidP="00ED6CF5">
      <w:pPr>
        <w:jc w:val="both"/>
        <w:rPr>
          <w:sz w:val="28"/>
          <w:szCs w:val="28"/>
        </w:rPr>
      </w:pPr>
    </w:p>
    <w:p w:rsidR="001E34F0" w:rsidRPr="001E34F0" w:rsidRDefault="001E34F0" w:rsidP="00ED6CF5">
      <w:pPr>
        <w:jc w:val="both"/>
        <w:rPr>
          <w:sz w:val="28"/>
          <w:szCs w:val="28"/>
        </w:rPr>
      </w:pPr>
    </w:p>
    <w:p w:rsidR="001E34F0" w:rsidRPr="001E34F0" w:rsidRDefault="001E34F0" w:rsidP="00ED6CF5">
      <w:pPr>
        <w:jc w:val="both"/>
        <w:rPr>
          <w:sz w:val="28"/>
          <w:szCs w:val="28"/>
        </w:rPr>
      </w:pPr>
      <w:bookmarkStart w:id="0" w:name="_GoBack"/>
      <w:bookmarkEnd w:id="0"/>
    </w:p>
    <w:p w:rsidR="001E34F0" w:rsidRPr="001E34F0" w:rsidRDefault="001E34F0" w:rsidP="00ED6CF5">
      <w:pPr>
        <w:jc w:val="both"/>
        <w:rPr>
          <w:sz w:val="28"/>
          <w:szCs w:val="28"/>
        </w:rPr>
      </w:pPr>
    </w:p>
    <w:p w:rsidR="00ED6CF5" w:rsidRPr="00ED6CF5" w:rsidRDefault="00ED6CF5" w:rsidP="00ED6CF5">
      <w:pPr>
        <w:spacing w:line="240" w:lineRule="exact"/>
        <w:jc w:val="both"/>
        <w:rPr>
          <w:sz w:val="20"/>
          <w:szCs w:val="20"/>
        </w:rPr>
      </w:pPr>
      <w:proofErr w:type="spellStart"/>
      <w:r w:rsidRPr="00ED6CF5">
        <w:rPr>
          <w:sz w:val="20"/>
          <w:szCs w:val="20"/>
        </w:rPr>
        <w:t>И.о</w:t>
      </w:r>
      <w:proofErr w:type="spellEnd"/>
      <w:r w:rsidRPr="00ED6CF5">
        <w:rPr>
          <w:sz w:val="20"/>
          <w:szCs w:val="20"/>
        </w:rPr>
        <w:t>. прокурора района</w:t>
      </w:r>
    </w:p>
    <w:p w:rsidR="00ED6CF5" w:rsidRPr="00ED6CF5" w:rsidRDefault="00ED6CF5" w:rsidP="00ED6CF5">
      <w:pPr>
        <w:spacing w:line="240" w:lineRule="exact"/>
        <w:jc w:val="both"/>
        <w:rPr>
          <w:sz w:val="20"/>
          <w:szCs w:val="20"/>
        </w:rPr>
      </w:pPr>
    </w:p>
    <w:p w:rsidR="00ED6CF5" w:rsidRPr="00ED6CF5" w:rsidRDefault="00ED6CF5" w:rsidP="00ED6CF5">
      <w:pPr>
        <w:spacing w:line="240" w:lineRule="exact"/>
        <w:jc w:val="both"/>
        <w:rPr>
          <w:sz w:val="20"/>
          <w:szCs w:val="20"/>
        </w:rPr>
      </w:pPr>
      <w:r w:rsidRPr="00ED6CF5">
        <w:rPr>
          <w:sz w:val="20"/>
          <w:szCs w:val="20"/>
        </w:rPr>
        <w:t xml:space="preserve">советник юстиции                                                                                                                                         </w:t>
      </w:r>
      <w:proofErr w:type="spellStart"/>
      <w:r w:rsidRPr="00ED6CF5">
        <w:rPr>
          <w:sz w:val="20"/>
          <w:szCs w:val="20"/>
        </w:rPr>
        <w:t>В.В.Путяков</w:t>
      </w:r>
      <w:proofErr w:type="spellEnd"/>
    </w:p>
    <w:p w:rsidR="00ED6CF5" w:rsidRPr="00ED6CF5" w:rsidRDefault="00ED6CF5" w:rsidP="00ED6CF5">
      <w:pPr>
        <w:jc w:val="both"/>
        <w:rPr>
          <w:sz w:val="20"/>
          <w:szCs w:val="20"/>
        </w:rPr>
      </w:pPr>
      <w:r w:rsidRPr="00ED6CF5">
        <w:rPr>
          <w:sz w:val="20"/>
          <w:szCs w:val="20"/>
        </w:rPr>
        <w:t xml:space="preserve">  </w:t>
      </w:r>
    </w:p>
    <w:p w:rsidR="00ED6CF5" w:rsidRDefault="00ED6CF5" w:rsidP="00ED6CF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ED6CF5" w:rsidRPr="00C21551" w:rsidRDefault="00ED6CF5" w:rsidP="00ED6CF5">
      <w:pPr>
        <w:rPr>
          <w:sz w:val="22"/>
          <w:szCs w:val="22"/>
        </w:rPr>
      </w:pPr>
    </w:p>
    <w:p w:rsidR="00ED6CF5" w:rsidRDefault="00ED6CF5" w:rsidP="00ED6CF5">
      <w:pPr>
        <w:rPr>
          <w:sz w:val="22"/>
          <w:szCs w:val="22"/>
        </w:rPr>
      </w:pPr>
    </w:p>
    <w:p w:rsidR="00ED6CF5" w:rsidRPr="0008506E" w:rsidRDefault="00ED6CF5" w:rsidP="00ED6CF5">
      <w:pPr>
        <w:spacing w:after="200" w:line="276" w:lineRule="auto"/>
        <w:ind w:firstLine="426"/>
        <w:jc w:val="both"/>
        <w:rPr>
          <w:sz w:val="22"/>
          <w:szCs w:val="22"/>
        </w:rPr>
      </w:pPr>
      <w:r w:rsidRPr="0008506E">
        <w:rPr>
          <w:sz w:val="20"/>
          <w:szCs w:val="20"/>
        </w:rPr>
        <w:t>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ED6CF5" w:rsidRPr="00ED6CF5" w:rsidRDefault="00ED6CF5" w:rsidP="00ED6CF5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8506E">
        <w:rPr>
          <w:sz w:val="20"/>
          <w:szCs w:val="20"/>
        </w:rPr>
        <w:t xml:space="preserve">Адрес: с. Яльчики, ул. Советская, дом №2                                                  </w:t>
      </w:r>
      <w:r>
        <w:rPr>
          <w:sz w:val="20"/>
          <w:szCs w:val="20"/>
        </w:rPr>
        <w:t xml:space="preserve">             Тираж -  10 экз.</w:t>
      </w:r>
    </w:p>
    <w:p w:rsidR="00733722" w:rsidRDefault="00733722"/>
    <w:sectPr w:rsidR="0073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C0"/>
    <w:rsid w:val="001E34F0"/>
    <w:rsid w:val="00733722"/>
    <w:rsid w:val="008D5CC0"/>
    <w:rsid w:val="00E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CD13A-9E01-455D-8A64-52BEEE8E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2020-06-04T13:54:00Z</dcterms:created>
  <dcterms:modified xsi:type="dcterms:W3CDTF">2020-06-11T15:10:00Z</dcterms:modified>
</cp:coreProperties>
</file>