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34" w:rsidRDefault="002D1C34" w:rsidP="007B1443"/>
    <w:tbl>
      <w:tblPr>
        <w:tblW w:w="9248" w:type="dxa"/>
        <w:tblInd w:w="64" w:type="dxa"/>
        <w:tblLook w:val="01E0" w:firstRow="1" w:lastRow="1" w:firstColumn="1" w:lastColumn="1" w:noHBand="0" w:noVBand="0"/>
      </w:tblPr>
      <w:tblGrid>
        <w:gridCol w:w="1458"/>
        <w:gridCol w:w="5042"/>
        <w:gridCol w:w="2748"/>
      </w:tblGrid>
      <w:tr w:rsidR="002D1C34" w:rsidRPr="002D1C34" w:rsidTr="0004262D">
        <w:trPr>
          <w:trHeight w:val="1161"/>
        </w:trPr>
        <w:tc>
          <w:tcPr>
            <w:tcW w:w="1458" w:type="dxa"/>
            <w:hideMark/>
          </w:tcPr>
          <w:p w:rsidR="002D1C34" w:rsidRPr="002D1C34" w:rsidRDefault="002D1C34" w:rsidP="002D1C34">
            <w:pPr>
              <w:spacing w:after="0" w:line="240" w:lineRule="auto"/>
              <w:jc w:val="center"/>
              <w:rPr>
                <w:rFonts w:ascii="Times New Roman" w:eastAsia="Times New Roman" w:hAnsi="Times New Roman"/>
                <w:sz w:val="24"/>
                <w:szCs w:val="24"/>
                <w:lang w:eastAsia="ru-RU"/>
              </w:rPr>
            </w:pPr>
            <w:r w:rsidRPr="002D1C34">
              <w:rPr>
                <w:rFonts w:ascii="Times New Roman" w:eastAsia="Times New Roman" w:hAnsi="Times New Roman"/>
                <w:noProof/>
                <w:color w:val="000080"/>
                <w:sz w:val="24"/>
                <w:szCs w:val="24"/>
                <w:lang w:eastAsia="ru-RU"/>
              </w:rPr>
              <w:drawing>
                <wp:inline distT="0" distB="0" distL="0" distR="0" wp14:anchorId="0F3D3879" wp14:editId="3AAC2A23">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042" w:type="dxa"/>
          </w:tcPr>
          <w:p w:rsidR="002D1C34" w:rsidRPr="002D1C34" w:rsidRDefault="002D1C34" w:rsidP="002D1C34">
            <w:pPr>
              <w:spacing w:after="0" w:line="240" w:lineRule="auto"/>
              <w:jc w:val="center"/>
              <w:rPr>
                <w:rFonts w:ascii="Times New Roman" w:eastAsia="Times New Roman" w:hAnsi="Times New Roman"/>
                <w:sz w:val="20"/>
                <w:szCs w:val="20"/>
                <w:lang w:eastAsia="ru-RU"/>
              </w:rPr>
            </w:pPr>
            <w:r w:rsidRPr="002D1C34">
              <w:rPr>
                <w:rFonts w:ascii="Times New Roman" w:eastAsia="Times New Roman" w:hAnsi="Times New Roman"/>
                <w:sz w:val="20"/>
                <w:szCs w:val="20"/>
                <w:lang w:eastAsia="ru-RU"/>
              </w:rPr>
              <w:t>Информационный бюллетень</w:t>
            </w:r>
          </w:p>
          <w:p w:rsidR="002D1C34" w:rsidRPr="002D1C34" w:rsidRDefault="002D1C34" w:rsidP="002D1C34">
            <w:pPr>
              <w:spacing w:after="0" w:line="240" w:lineRule="auto"/>
              <w:jc w:val="center"/>
              <w:rPr>
                <w:rFonts w:ascii="Times New Roman" w:eastAsia="Times New Roman" w:hAnsi="Times New Roman"/>
                <w:sz w:val="20"/>
                <w:szCs w:val="20"/>
                <w:lang w:eastAsia="ru-RU"/>
              </w:rPr>
            </w:pPr>
          </w:p>
          <w:p w:rsidR="002D1C34" w:rsidRPr="002D1C34" w:rsidRDefault="002D1C34" w:rsidP="002D1C34">
            <w:pPr>
              <w:spacing w:after="0" w:line="240" w:lineRule="auto"/>
              <w:jc w:val="center"/>
              <w:rPr>
                <w:rFonts w:ascii="Times New Roman" w:eastAsia="Times New Roman" w:hAnsi="Times New Roman"/>
                <w:sz w:val="32"/>
                <w:szCs w:val="32"/>
                <w:lang w:eastAsia="ru-RU"/>
              </w:rPr>
            </w:pPr>
            <w:r w:rsidRPr="002D1C34">
              <w:rPr>
                <w:rFonts w:ascii="Times New Roman" w:eastAsia="Times New Roman" w:hAnsi="Times New Roman"/>
                <w:sz w:val="32"/>
                <w:szCs w:val="32"/>
                <w:lang w:eastAsia="ru-RU"/>
              </w:rPr>
              <w:t xml:space="preserve">Вестник </w:t>
            </w:r>
          </w:p>
          <w:p w:rsidR="002D1C34" w:rsidRPr="002D1C34" w:rsidRDefault="002D1C34" w:rsidP="002D1C34">
            <w:pPr>
              <w:spacing w:after="0" w:line="240" w:lineRule="auto"/>
              <w:jc w:val="center"/>
              <w:rPr>
                <w:rFonts w:ascii="Times New Roman" w:eastAsia="Times New Roman" w:hAnsi="Times New Roman"/>
                <w:sz w:val="32"/>
                <w:szCs w:val="32"/>
                <w:lang w:eastAsia="ru-RU"/>
              </w:rPr>
            </w:pPr>
            <w:proofErr w:type="spellStart"/>
            <w:r w:rsidRPr="002D1C34">
              <w:rPr>
                <w:rFonts w:ascii="Times New Roman" w:eastAsia="Times New Roman" w:hAnsi="Times New Roman"/>
                <w:sz w:val="32"/>
                <w:szCs w:val="32"/>
                <w:lang w:eastAsia="ru-RU"/>
              </w:rPr>
              <w:t>Малотаябинского</w:t>
            </w:r>
            <w:proofErr w:type="spellEnd"/>
            <w:r w:rsidRPr="002D1C34">
              <w:rPr>
                <w:rFonts w:ascii="Times New Roman" w:eastAsia="Times New Roman" w:hAnsi="Times New Roman"/>
                <w:sz w:val="32"/>
                <w:szCs w:val="32"/>
                <w:lang w:eastAsia="ru-RU"/>
              </w:rPr>
              <w:t xml:space="preserve"> сельского поселения </w:t>
            </w:r>
            <w:proofErr w:type="spellStart"/>
            <w:r w:rsidRPr="002D1C34">
              <w:rPr>
                <w:rFonts w:ascii="Times New Roman" w:eastAsia="Times New Roman" w:hAnsi="Times New Roman"/>
                <w:sz w:val="32"/>
                <w:szCs w:val="32"/>
                <w:lang w:eastAsia="ru-RU"/>
              </w:rPr>
              <w:t>Яльчикского</w:t>
            </w:r>
            <w:proofErr w:type="spellEnd"/>
            <w:r w:rsidRPr="002D1C34">
              <w:rPr>
                <w:rFonts w:ascii="Times New Roman" w:eastAsia="Times New Roman" w:hAnsi="Times New Roman"/>
                <w:sz w:val="32"/>
                <w:szCs w:val="32"/>
                <w:lang w:eastAsia="ru-RU"/>
              </w:rPr>
              <w:t xml:space="preserve"> района</w:t>
            </w:r>
          </w:p>
          <w:p w:rsidR="002D1C34" w:rsidRPr="002D1C34" w:rsidRDefault="002D1C34" w:rsidP="002D1C34">
            <w:pPr>
              <w:spacing w:after="0" w:line="240" w:lineRule="auto"/>
              <w:jc w:val="center"/>
              <w:rPr>
                <w:rFonts w:ascii="Times New Roman" w:eastAsia="Times New Roman" w:hAnsi="Times New Roman"/>
                <w:sz w:val="20"/>
                <w:szCs w:val="20"/>
                <w:lang w:eastAsia="ru-RU"/>
              </w:rPr>
            </w:pPr>
          </w:p>
        </w:tc>
        <w:tc>
          <w:tcPr>
            <w:tcW w:w="2748" w:type="dxa"/>
            <w:hideMark/>
          </w:tcPr>
          <w:p w:rsidR="002D1C34" w:rsidRPr="002D1C34" w:rsidRDefault="002D1C34" w:rsidP="002D1C34">
            <w:pPr>
              <w:spacing w:after="0" w:line="240" w:lineRule="auto"/>
              <w:jc w:val="center"/>
              <w:rPr>
                <w:rFonts w:ascii="Times New Roman" w:eastAsia="Times New Roman" w:hAnsi="Times New Roman"/>
                <w:sz w:val="20"/>
                <w:szCs w:val="20"/>
                <w:lang w:eastAsia="ru-RU"/>
              </w:rPr>
            </w:pPr>
            <w:r w:rsidRPr="002D1C34">
              <w:rPr>
                <w:rFonts w:ascii="Times New Roman" w:eastAsia="Times New Roman" w:hAnsi="Times New Roman"/>
                <w:sz w:val="20"/>
                <w:szCs w:val="20"/>
                <w:lang w:eastAsia="ru-RU"/>
              </w:rPr>
              <w:t>УТВЕРЖДЕН</w:t>
            </w:r>
          </w:p>
          <w:p w:rsidR="002D1C34" w:rsidRPr="002D1C34" w:rsidRDefault="002D1C34" w:rsidP="002D1C34">
            <w:pPr>
              <w:spacing w:after="0" w:line="240" w:lineRule="auto"/>
              <w:jc w:val="center"/>
              <w:rPr>
                <w:rFonts w:ascii="Times New Roman" w:eastAsia="Times New Roman" w:hAnsi="Times New Roman"/>
                <w:sz w:val="20"/>
                <w:szCs w:val="20"/>
                <w:lang w:eastAsia="ru-RU"/>
              </w:rPr>
            </w:pPr>
            <w:r w:rsidRPr="002D1C34">
              <w:rPr>
                <w:rFonts w:ascii="Times New Roman" w:eastAsia="Times New Roman" w:hAnsi="Times New Roman"/>
                <w:sz w:val="20"/>
                <w:szCs w:val="20"/>
                <w:lang w:eastAsia="ru-RU"/>
              </w:rPr>
              <w:t xml:space="preserve">Решением Собрания депутатов </w:t>
            </w:r>
            <w:proofErr w:type="spellStart"/>
            <w:r w:rsidRPr="002D1C34">
              <w:rPr>
                <w:rFonts w:ascii="Times New Roman" w:eastAsia="Times New Roman" w:hAnsi="Times New Roman"/>
                <w:sz w:val="20"/>
                <w:szCs w:val="20"/>
                <w:lang w:eastAsia="ru-RU"/>
              </w:rPr>
              <w:t>Малотаябинского</w:t>
            </w:r>
            <w:proofErr w:type="spellEnd"/>
            <w:r w:rsidRPr="002D1C34">
              <w:rPr>
                <w:rFonts w:ascii="Times New Roman" w:eastAsia="Times New Roman" w:hAnsi="Times New Roman"/>
                <w:sz w:val="20"/>
                <w:szCs w:val="20"/>
                <w:lang w:eastAsia="ru-RU"/>
              </w:rPr>
              <w:t xml:space="preserve"> сельского поселения </w:t>
            </w:r>
            <w:proofErr w:type="spellStart"/>
            <w:r w:rsidRPr="002D1C34">
              <w:rPr>
                <w:rFonts w:ascii="Times New Roman" w:eastAsia="Times New Roman" w:hAnsi="Times New Roman"/>
                <w:sz w:val="20"/>
                <w:szCs w:val="20"/>
                <w:lang w:eastAsia="ru-RU"/>
              </w:rPr>
              <w:t>Яльчикского</w:t>
            </w:r>
            <w:proofErr w:type="spellEnd"/>
            <w:r w:rsidRPr="002D1C34">
              <w:rPr>
                <w:rFonts w:ascii="Times New Roman" w:eastAsia="Times New Roman" w:hAnsi="Times New Roman"/>
                <w:sz w:val="20"/>
                <w:szCs w:val="20"/>
                <w:lang w:eastAsia="ru-RU"/>
              </w:rPr>
              <w:t xml:space="preserve"> района</w:t>
            </w:r>
          </w:p>
          <w:p w:rsidR="002D1C34" w:rsidRPr="002D1C34" w:rsidRDefault="002D1C34" w:rsidP="002D1C34">
            <w:pPr>
              <w:spacing w:after="0" w:line="240" w:lineRule="auto"/>
              <w:jc w:val="center"/>
              <w:rPr>
                <w:rFonts w:ascii="Times New Roman" w:eastAsia="Times New Roman" w:hAnsi="Times New Roman"/>
                <w:sz w:val="24"/>
                <w:szCs w:val="24"/>
                <w:lang w:eastAsia="ru-RU"/>
              </w:rPr>
            </w:pPr>
            <w:r w:rsidRPr="002D1C34">
              <w:rPr>
                <w:rFonts w:ascii="Times New Roman" w:eastAsia="Times New Roman" w:hAnsi="Times New Roman"/>
                <w:sz w:val="20"/>
                <w:szCs w:val="20"/>
                <w:lang w:eastAsia="ru-RU"/>
              </w:rPr>
              <w:t>№</w:t>
            </w:r>
            <w:r w:rsidRPr="002D1C34">
              <w:rPr>
                <w:rFonts w:ascii="Times New Roman" w:eastAsia="Times New Roman" w:hAnsi="Times New Roman"/>
                <w:sz w:val="20"/>
                <w:szCs w:val="20"/>
                <w:lang w:val="en-US" w:eastAsia="ru-RU"/>
              </w:rPr>
              <w:t xml:space="preserve"> 2/5</w:t>
            </w:r>
            <w:r w:rsidRPr="002D1C34">
              <w:rPr>
                <w:rFonts w:ascii="Times New Roman" w:eastAsia="Times New Roman" w:hAnsi="Times New Roman"/>
                <w:sz w:val="20"/>
                <w:szCs w:val="20"/>
                <w:lang w:eastAsia="ru-RU"/>
              </w:rPr>
              <w:t xml:space="preserve"> от </w:t>
            </w:r>
            <w:r w:rsidRPr="002D1C34">
              <w:rPr>
                <w:rFonts w:ascii="Times New Roman" w:eastAsia="Times New Roman" w:hAnsi="Times New Roman"/>
                <w:sz w:val="20"/>
                <w:szCs w:val="20"/>
                <w:lang w:val="en-US" w:eastAsia="ru-RU"/>
              </w:rPr>
              <w:t>“</w:t>
            </w:r>
            <w:smartTag w:uri="urn:schemas-microsoft-com:office:smarttags" w:element="metricconverter">
              <w:smartTagPr>
                <w:attr w:name="ProductID" w:val="01”"/>
              </w:smartTagPr>
              <w:r w:rsidRPr="002D1C34">
                <w:rPr>
                  <w:rFonts w:ascii="Times New Roman" w:eastAsia="Times New Roman" w:hAnsi="Times New Roman"/>
                  <w:sz w:val="20"/>
                  <w:szCs w:val="20"/>
                  <w:lang w:val="en-US" w:eastAsia="ru-RU"/>
                </w:rPr>
                <w:t>01”</w:t>
              </w:r>
            </w:smartTag>
            <w:r w:rsidRPr="002D1C34">
              <w:rPr>
                <w:rFonts w:ascii="Times New Roman" w:eastAsia="Times New Roman" w:hAnsi="Times New Roman"/>
                <w:sz w:val="20"/>
                <w:szCs w:val="20"/>
                <w:lang w:val="en-US" w:eastAsia="ru-RU"/>
              </w:rPr>
              <w:t xml:space="preserve"> </w:t>
            </w:r>
            <w:r w:rsidRPr="002D1C34">
              <w:rPr>
                <w:rFonts w:ascii="Times New Roman" w:eastAsia="Times New Roman" w:hAnsi="Times New Roman"/>
                <w:sz w:val="20"/>
                <w:szCs w:val="20"/>
                <w:lang w:eastAsia="ru-RU"/>
              </w:rPr>
              <w:t xml:space="preserve">февраля </w:t>
            </w:r>
            <w:r w:rsidRPr="002D1C34">
              <w:rPr>
                <w:rFonts w:ascii="Times New Roman" w:eastAsia="Times New Roman" w:hAnsi="Times New Roman"/>
                <w:sz w:val="20"/>
                <w:szCs w:val="20"/>
                <w:lang w:val="en-US" w:eastAsia="ru-RU"/>
              </w:rPr>
              <w:t>200</w:t>
            </w:r>
            <w:r w:rsidRPr="002D1C34">
              <w:rPr>
                <w:rFonts w:ascii="Times New Roman" w:eastAsia="Times New Roman" w:hAnsi="Times New Roman"/>
                <w:sz w:val="20"/>
                <w:szCs w:val="20"/>
                <w:lang w:eastAsia="ru-RU"/>
              </w:rPr>
              <w:t>8г.</w:t>
            </w:r>
          </w:p>
        </w:tc>
      </w:tr>
      <w:tr w:rsidR="002D1C34" w:rsidRPr="002D1C34" w:rsidTr="0004262D">
        <w:trPr>
          <w:trHeight w:val="444"/>
        </w:trPr>
        <w:tc>
          <w:tcPr>
            <w:tcW w:w="1458" w:type="dxa"/>
          </w:tcPr>
          <w:p w:rsidR="002D1C34" w:rsidRPr="002D1C34" w:rsidRDefault="002D1C34" w:rsidP="002D1C3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p w:rsidR="002D1C34" w:rsidRPr="002D1C34" w:rsidRDefault="002D1C34" w:rsidP="002D1C34">
            <w:pPr>
              <w:spacing w:after="0" w:line="240" w:lineRule="auto"/>
              <w:rPr>
                <w:rFonts w:ascii="Times New Roman" w:eastAsia="Times New Roman" w:hAnsi="Times New Roman"/>
                <w:sz w:val="20"/>
                <w:szCs w:val="20"/>
                <w:lang w:eastAsia="ru-RU"/>
              </w:rPr>
            </w:pPr>
          </w:p>
        </w:tc>
        <w:tc>
          <w:tcPr>
            <w:tcW w:w="5042" w:type="dxa"/>
          </w:tcPr>
          <w:p w:rsidR="002D1C34" w:rsidRPr="002D1C34" w:rsidRDefault="002D1C34" w:rsidP="002D1C34">
            <w:pPr>
              <w:spacing w:after="0" w:line="240" w:lineRule="auto"/>
              <w:jc w:val="center"/>
              <w:rPr>
                <w:rFonts w:ascii="Times New Roman" w:eastAsia="Times New Roman" w:hAnsi="Times New Roman"/>
                <w:sz w:val="20"/>
                <w:szCs w:val="20"/>
                <w:lang w:eastAsia="ru-RU"/>
              </w:rPr>
            </w:pPr>
          </w:p>
        </w:tc>
        <w:tc>
          <w:tcPr>
            <w:tcW w:w="2748" w:type="dxa"/>
            <w:hideMark/>
          </w:tcPr>
          <w:p w:rsidR="002D1C34" w:rsidRPr="002D1C34" w:rsidRDefault="002D1C34" w:rsidP="002D1C34">
            <w:pPr>
              <w:spacing w:after="0" w:line="240" w:lineRule="auto"/>
              <w:jc w:val="center"/>
              <w:rPr>
                <w:rFonts w:ascii="Times New Roman" w:eastAsia="Times New Roman" w:hAnsi="Times New Roman"/>
                <w:sz w:val="20"/>
                <w:szCs w:val="20"/>
                <w:lang w:eastAsia="ru-RU"/>
              </w:rPr>
            </w:pPr>
            <w:r w:rsidRPr="002D1C34">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31</w:t>
            </w:r>
            <w:r w:rsidRPr="002D1C34">
              <w:rPr>
                <w:rFonts w:ascii="Times New Roman" w:eastAsia="Times New Roman" w:hAnsi="Times New Roman"/>
                <w:sz w:val="20"/>
                <w:szCs w:val="20"/>
                <w:lang w:val="en-US" w:eastAsia="ru-RU"/>
              </w:rPr>
              <w:t xml:space="preserve">” </w:t>
            </w:r>
            <w:r w:rsidRPr="002D1C34">
              <w:rPr>
                <w:rFonts w:ascii="Times New Roman" w:eastAsia="Times New Roman" w:hAnsi="Times New Roman"/>
                <w:sz w:val="20"/>
                <w:szCs w:val="20"/>
                <w:lang w:eastAsia="ru-RU"/>
              </w:rPr>
              <w:t xml:space="preserve">марта </w:t>
            </w:r>
            <w:r w:rsidRPr="002D1C34">
              <w:rPr>
                <w:rFonts w:ascii="Times New Roman" w:eastAsia="Times New Roman" w:hAnsi="Times New Roman"/>
                <w:sz w:val="20"/>
                <w:szCs w:val="20"/>
                <w:lang w:val="en-US" w:eastAsia="ru-RU"/>
              </w:rPr>
              <w:t>20</w:t>
            </w:r>
            <w:r w:rsidRPr="002D1C34">
              <w:rPr>
                <w:rFonts w:ascii="Times New Roman" w:eastAsia="Times New Roman" w:hAnsi="Times New Roman"/>
                <w:sz w:val="20"/>
                <w:szCs w:val="20"/>
                <w:lang w:eastAsia="ru-RU"/>
              </w:rPr>
              <w:t>20 г.</w:t>
            </w:r>
          </w:p>
        </w:tc>
      </w:tr>
    </w:tbl>
    <w:p w:rsidR="007B1443" w:rsidRDefault="007B1443" w:rsidP="007B1443"/>
    <w:p w:rsidR="007B1443" w:rsidRDefault="007B1443" w:rsidP="007B1443">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color w:val="000000"/>
          <w:sz w:val="28"/>
          <w:szCs w:val="28"/>
        </w:rPr>
        <w:t>Прокуратурой Яльчикского района выявлены нарушения трудового законодательства</w:t>
      </w:r>
      <w:r>
        <w:rPr>
          <w:rStyle w:val="eop"/>
          <w:sz w:val="28"/>
          <w:szCs w:val="28"/>
        </w:rPr>
        <w:t> </w:t>
      </w:r>
    </w:p>
    <w:p w:rsidR="007B1443" w:rsidRDefault="007B1443" w:rsidP="007B1443">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21402B" w:rsidRDefault="007B1443" w:rsidP="007B1443">
      <w:pPr>
        <w:pStyle w:val="paragraph"/>
        <w:spacing w:before="0" w:beforeAutospacing="0" w:after="0" w:afterAutospacing="0"/>
        <w:ind w:firstLine="705"/>
        <w:jc w:val="both"/>
        <w:textAlignment w:val="baseline"/>
        <w:rPr>
          <w:rStyle w:val="normaltextrun"/>
          <w:sz w:val="28"/>
          <w:szCs w:val="28"/>
        </w:rPr>
      </w:pPr>
      <w:r>
        <w:rPr>
          <w:rStyle w:val="normaltextrun"/>
          <w:color w:val="000000"/>
          <w:sz w:val="28"/>
          <w:szCs w:val="28"/>
        </w:rPr>
        <w:t xml:space="preserve">Прокуратурой Яльчикского района </w:t>
      </w:r>
      <w:r w:rsidR="0021402B">
        <w:rPr>
          <w:sz w:val="28"/>
          <w:szCs w:val="28"/>
        </w:rPr>
        <w:t>совместно с представителями межрайонной инспекции ФНС России № 2 по ЧР и администрации Яльчикского района Чувашской Республики</w:t>
      </w:r>
      <w:r w:rsidR="0021402B">
        <w:rPr>
          <w:rStyle w:val="normaltextrun"/>
          <w:color w:val="000000"/>
          <w:sz w:val="28"/>
          <w:szCs w:val="28"/>
        </w:rPr>
        <w:t xml:space="preserve"> </w:t>
      </w:r>
      <w:r>
        <w:rPr>
          <w:rStyle w:val="normaltextrun"/>
          <w:color w:val="000000"/>
          <w:sz w:val="28"/>
          <w:szCs w:val="28"/>
        </w:rPr>
        <w:t>проведен</w:t>
      </w:r>
      <w:r w:rsidR="0021402B">
        <w:rPr>
          <w:rStyle w:val="normaltextrun"/>
          <w:color w:val="000000"/>
          <w:sz w:val="28"/>
          <w:szCs w:val="28"/>
        </w:rPr>
        <w:t>ы</w:t>
      </w:r>
      <w:r>
        <w:rPr>
          <w:rStyle w:val="normaltextrun"/>
          <w:color w:val="000000"/>
          <w:sz w:val="28"/>
          <w:szCs w:val="28"/>
        </w:rPr>
        <w:t xml:space="preserve"> проверк</w:t>
      </w:r>
      <w:r w:rsidR="0021402B">
        <w:rPr>
          <w:rStyle w:val="normaltextrun"/>
          <w:color w:val="000000"/>
          <w:sz w:val="28"/>
          <w:szCs w:val="28"/>
        </w:rPr>
        <w:t>и</w:t>
      </w:r>
      <w:r>
        <w:rPr>
          <w:rStyle w:val="normaltextrun"/>
          <w:color w:val="000000"/>
          <w:sz w:val="28"/>
          <w:szCs w:val="28"/>
        </w:rPr>
        <w:t xml:space="preserve"> соблюдения трудового законодательства </w:t>
      </w:r>
      <w:r>
        <w:rPr>
          <w:rStyle w:val="normaltextrun"/>
          <w:sz w:val="28"/>
          <w:szCs w:val="28"/>
        </w:rPr>
        <w:t>индивидуальным</w:t>
      </w:r>
      <w:r w:rsidR="0021402B">
        <w:rPr>
          <w:rStyle w:val="normaltextrun"/>
          <w:sz w:val="28"/>
          <w:szCs w:val="28"/>
        </w:rPr>
        <w:t>и</w:t>
      </w:r>
      <w:r>
        <w:rPr>
          <w:rStyle w:val="normaltextrun"/>
          <w:sz w:val="28"/>
          <w:szCs w:val="28"/>
        </w:rPr>
        <w:t xml:space="preserve"> предпринимател</w:t>
      </w:r>
      <w:r w:rsidR="0021402B">
        <w:rPr>
          <w:rStyle w:val="normaltextrun"/>
          <w:sz w:val="28"/>
          <w:szCs w:val="28"/>
        </w:rPr>
        <w:t>я</w:t>
      </w:r>
      <w:r>
        <w:rPr>
          <w:rStyle w:val="normaltextrun"/>
          <w:sz w:val="28"/>
          <w:szCs w:val="28"/>
        </w:rPr>
        <w:t>м</w:t>
      </w:r>
      <w:r w:rsidR="0021402B">
        <w:rPr>
          <w:rStyle w:val="normaltextrun"/>
          <w:sz w:val="28"/>
          <w:szCs w:val="28"/>
        </w:rPr>
        <w:t>и</w:t>
      </w:r>
      <w:r>
        <w:rPr>
          <w:rStyle w:val="normaltextrun"/>
          <w:sz w:val="28"/>
          <w:szCs w:val="28"/>
        </w:rPr>
        <w:t xml:space="preserve"> </w:t>
      </w:r>
      <w:r w:rsidR="0021402B">
        <w:rPr>
          <w:rStyle w:val="normaltextrun"/>
          <w:sz w:val="28"/>
          <w:szCs w:val="28"/>
        </w:rPr>
        <w:t>района в части оформления трудовых договоров с работниками.</w:t>
      </w:r>
    </w:p>
    <w:p w:rsidR="007B1443" w:rsidRDefault="007B1443" w:rsidP="007B1443">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Проверкой установлено, что в нарушение ст</w:t>
      </w:r>
      <w:r w:rsidR="0021402B">
        <w:rPr>
          <w:rStyle w:val="normaltextrun"/>
          <w:sz w:val="28"/>
          <w:szCs w:val="28"/>
        </w:rPr>
        <w:t xml:space="preserve">атей </w:t>
      </w:r>
      <w:r>
        <w:rPr>
          <w:rStyle w:val="normaltextrun"/>
          <w:sz w:val="28"/>
          <w:szCs w:val="28"/>
        </w:rPr>
        <w:t>65, 67 и 68 Трудового кодекса РФ, </w:t>
      </w:r>
      <w:r w:rsidR="0021402B">
        <w:rPr>
          <w:rStyle w:val="normaltextrun"/>
          <w:sz w:val="28"/>
          <w:szCs w:val="28"/>
        </w:rPr>
        <w:t xml:space="preserve">некоторыми </w:t>
      </w:r>
      <w:r>
        <w:rPr>
          <w:rStyle w:val="normaltextrun"/>
          <w:color w:val="000000"/>
          <w:sz w:val="28"/>
          <w:szCs w:val="28"/>
        </w:rPr>
        <w:t>индивидуальным</w:t>
      </w:r>
      <w:r w:rsidR="0021402B">
        <w:rPr>
          <w:rStyle w:val="normaltextrun"/>
          <w:color w:val="000000"/>
          <w:sz w:val="28"/>
          <w:szCs w:val="28"/>
        </w:rPr>
        <w:t>и</w:t>
      </w:r>
      <w:r>
        <w:rPr>
          <w:rStyle w:val="normaltextrun"/>
          <w:color w:val="000000"/>
          <w:sz w:val="28"/>
          <w:szCs w:val="28"/>
        </w:rPr>
        <w:t xml:space="preserve"> предпринимател</w:t>
      </w:r>
      <w:r w:rsidR="0021402B">
        <w:rPr>
          <w:rStyle w:val="normaltextrun"/>
          <w:color w:val="000000"/>
          <w:sz w:val="28"/>
          <w:szCs w:val="28"/>
        </w:rPr>
        <w:t>я</w:t>
      </w:r>
      <w:r>
        <w:rPr>
          <w:rStyle w:val="normaltextrun"/>
          <w:color w:val="000000"/>
          <w:sz w:val="28"/>
          <w:szCs w:val="28"/>
        </w:rPr>
        <w:t>м</w:t>
      </w:r>
      <w:r w:rsidR="0021402B">
        <w:rPr>
          <w:rStyle w:val="normaltextrun"/>
          <w:color w:val="000000"/>
          <w:sz w:val="28"/>
          <w:szCs w:val="28"/>
        </w:rPr>
        <w:t>и</w:t>
      </w:r>
      <w:r>
        <w:rPr>
          <w:rStyle w:val="normaltextrun"/>
          <w:color w:val="000000"/>
          <w:sz w:val="28"/>
          <w:szCs w:val="28"/>
        </w:rPr>
        <w:t xml:space="preserve"> трудовой договор с продавц</w:t>
      </w:r>
      <w:r w:rsidR="0021402B">
        <w:rPr>
          <w:rStyle w:val="normaltextrun"/>
          <w:color w:val="000000"/>
          <w:sz w:val="28"/>
          <w:szCs w:val="28"/>
        </w:rPr>
        <w:t>а</w:t>
      </w:r>
      <w:r>
        <w:rPr>
          <w:rStyle w:val="normaltextrun"/>
          <w:color w:val="000000"/>
          <w:sz w:val="28"/>
          <w:szCs w:val="28"/>
        </w:rPr>
        <w:t>м</w:t>
      </w:r>
      <w:r w:rsidR="0021402B">
        <w:rPr>
          <w:rStyle w:val="normaltextrun"/>
          <w:color w:val="000000"/>
          <w:sz w:val="28"/>
          <w:szCs w:val="28"/>
        </w:rPr>
        <w:t>и</w:t>
      </w:r>
      <w:r>
        <w:rPr>
          <w:rStyle w:val="normaltextrun"/>
          <w:color w:val="000000"/>
          <w:sz w:val="28"/>
          <w:szCs w:val="28"/>
        </w:rPr>
        <w:t>, допущенным</w:t>
      </w:r>
      <w:r w:rsidR="0021402B">
        <w:rPr>
          <w:rStyle w:val="normaltextrun"/>
          <w:color w:val="000000"/>
          <w:sz w:val="28"/>
          <w:szCs w:val="28"/>
        </w:rPr>
        <w:t>и</w:t>
      </w:r>
      <w:r>
        <w:rPr>
          <w:rStyle w:val="normaltextrun"/>
          <w:color w:val="000000"/>
          <w:sz w:val="28"/>
          <w:szCs w:val="28"/>
        </w:rPr>
        <w:t xml:space="preserve"> к работе </w:t>
      </w:r>
      <w:r w:rsidR="0021402B">
        <w:rPr>
          <w:rStyle w:val="normaltextrun"/>
          <w:color w:val="000000"/>
          <w:sz w:val="28"/>
          <w:szCs w:val="28"/>
        </w:rPr>
        <w:t xml:space="preserve">еще в </w:t>
      </w:r>
      <w:r>
        <w:rPr>
          <w:rStyle w:val="normaltextrun"/>
          <w:color w:val="000000"/>
          <w:sz w:val="28"/>
          <w:szCs w:val="28"/>
        </w:rPr>
        <w:t>2019 год</w:t>
      </w:r>
      <w:r w:rsidR="0021402B">
        <w:rPr>
          <w:rStyle w:val="normaltextrun"/>
          <w:color w:val="000000"/>
          <w:sz w:val="28"/>
          <w:szCs w:val="28"/>
        </w:rPr>
        <w:t>у</w:t>
      </w:r>
      <w:r>
        <w:rPr>
          <w:rStyle w:val="normaltextrun"/>
          <w:color w:val="000000"/>
          <w:sz w:val="28"/>
          <w:szCs w:val="28"/>
        </w:rPr>
        <w:t>, не заключен</w:t>
      </w:r>
      <w:r w:rsidR="0021402B">
        <w:rPr>
          <w:rStyle w:val="normaltextrun"/>
          <w:color w:val="000000"/>
          <w:sz w:val="28"/>
          <w:szCs w:val="28"/>
        </w:rPr>
        <w:t>ы</w:t>
      </w:r>
      <w:r>
        <w:rPr>
          <w:rStyle w:val="normaltextrun"/>
          <w:color w:val="000000"/>
          <w:sz w:val="28"/>
          <w:szCs w:val="28"/>
        </w:rPr>
        <w:t>, приказ</w:t>
      </w:r>
      <w:r w:rsidR="0021402B">
        <w:rPr>
          <w:rStyle w:val="normaltextrun"/>
          <w:color w:val="000000"/>
          <w:sz w:val="28"/>
          <w:szCs w:val="28"/>
        </w:rPr>
        <w:t>ы</w:t>
      </w:r>
      <w:r>
        <w:rPr>
          <w:rStyle w:val="normaltextrun"/>
          <w:color w:val="000000"/>
          <w:sz w:val="28"/>
          <w:szCs w:val="28"/>
        </w:rPr>
        <w:t xml:space="preserve"> о приеме на работу не издан</w:t>
      </w:r>
      <w:r w:rsidR="0021402B">
        <w:rPr>
          <w:rStyle w:val="normaltextrun"/>
          <w:color w:val="000000"/>
          <w:sz w:val="28"/>
          <w:szCs w:val="28"/>
        </w:rPr>
        <w:t>ы</w:t>
      </w:r>
      <w:r>
        <w:rPr>
          <w:rStyle w:val="normaltextrun"/>
          <w:color w:val="000000"/>
          <w:sz w:val="28"/>
          <w:szCs w:val="28"/>
        </w:rPr>
        <w:t>, трудовая книжка не заведена, </w:t>
      </w:r>
      <w:r>
        <w:rPr>
          <w:rStyle w:val="normaltextrun"/>
          <w:sz w:val="28"/>
          <w:szCs w:val="28"/>
        </w:rPr>
        <w:t>учет фактически отработанного работником рабочего времени не велся</w:t>
      </w:r>
      <w:r>
        <w:rPr>
          <w:rStyle w:val="normaltextrun"/>
          <w:color w:val="000000"/>
          <w:sz w:val="28"/>
          <w:szCs w:val="28"/>
        </w:rPr>
        <w:t>.</w:t>
      </w:r>
      <w:r>
        <w:rPr>
          <w:rStyle w:val="eop"/>
          <w:sz w:val="28"/>
          <w:szCs w:val="28"/>
        </w:rPr>
        <w:t> </w:t>
      </w:r>
    </w:p>
    <w:p w:rsidR="007B1443" w:rsidRDefault="007B1443" w:rsidP="007B144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 xml:space="preserve">По результатам проверки прокурором </w:t>
      </w:r>
      <w:r w:rsidR="0021402B">
        <w:rPr>
          <w:rStyle w:val="normaltextrun"/>
          <w:color w:val="000000"/>
          <w:sz w:val="28"/>
          <w:szCs w:val="28"/>
        </w:rPr>
        <w:t>Яльчикского</w:t>
      </w:r>
      <w:r>
        <w:rPr>
          <w:rStyle w:val="normaltextrun"/>
          <w:color w:val="000000"/>
          <w:sz w:val="28"/>
          <w:szCs w:val="28"/>
        </w:rPr>
        <w:t xml:space="preserve"> района в отношении</w:t>
      </w:r>
      <w:r w:rsidR="0021402B">
        <w:rPr>
          <w:rStyle w:val="normaltextrun"/>
          <w:color w:val="000000"/>
          <w:sz w:val="28"/>
          <w:szCs w:val="28"/>
        </w:rPr>
        <w:t xml:space="preserve"> двух </w:t>
      </w:r>
      <w:r>
        <w:rPr>
          <w:rStyle w:val="normaltextrun"/>
          <w:color w:val="000000"/>
          <w:sz w:val="28"/>
          <w:szCs w:val="28"/>
        </w:rPr>
        <w:t>индивидуальн</w:t>
      </w:r>
      <w:r w:rsidR="0021402B">
        <w:rPr>
          <w:rStyle w:val="normaltextrun"/>
          <w:color w:val="000000"/>
          <w:sz w:val="28"/>
          <w:szCs w:val="28"/>
        </w:rPr>
        <w:t>ых</w:t>
      </w:r>
      <w:r>
        <w:rPr>
          <w:rStyle w:val="normaltextrun"/>
          <w:color w:val="000000"/>
          <w:sz w:val="28"/>
          <w:szCs w:val="28"/>
        </w:rPr>
        <w:t xml:space="preserve"> предпринимател</w:t>
      </w:r>
      <w:r w:rsidR="0021402B">
        <w:rPr>
          <w:rStyle w:val="normaltextrun"/>
          <w:color w:val="000000"/>
          <w:sz w:val="28"/>
          <w:szCs w:val="28"/>
        </w:rPr>
        <w:t>ей</w:t>
      </w:r>
      <w:r>
        <w:rPr>
          <w:rStyle w:val="normaltextrun"/>
          <w:color w:val="000000"/>
          <w:sz w:val="28"/>
          <w:szCs w:val="28"/>
        </w:rPr>
        <w:t xml:space="preserve"> возбужден</w:t>
      </w:r>
      <w:r w:rsidR="0021402B">
        <w:rPr>
          <w:rStyle w:val="normaltextrun"/>
          <w:color w:val="000000"/>
          <w:sz w:val="28"/>
          <w:szCs w:val="28"/>
        </w:rPr>
        <w:t>ы</w:t>
      </w:r>
      <w:r>
        <w:rPr>
          <w:rStyle w:val="normaltextrun"/>
          <w:color w:val="000000"/>
          <w:sz w:val="28"/>
          <w:szCs w:val="28"/>
        </w:rPr>
        <w:t xml:space="preserve"> 2 дела об административных правонарушениях, предусмотренных ч.</w:t>
      </w:r>
      <w:r w:rsidR="0021402B">
        <w:rPr>
          <w:rStyle w:val="normaltextrun"/>
          <w:color w:val="000000"/>
          <w:sz w:val="28"/>
          <w:szCs w:val="28"/>
        </w:rPr>
        <w:t xml:space="preserve"> </w:t>
      </w:r>
      <w:r>
        <w:rPr>
          <w:rStyle w:val="normaltextrun"/>
          <w:color w:val="000000"/>
          <w:sz w:val="28"/>
          <w:szCs w:val="28"/>
        </w:rPr>
        <w:t>4 ст.5.27 КоАП РФ</w:t>
      </w:r>
      <w:r>
        <w:rPr>
          <w:rStyle w:val="normaltextrun"/>
          <w:sz w:val="28"/>
          <w:szCs w:val="28"/>
        </w:rPr>
        <w:t> (уклонение от оформления трудового договора)</w:t>
      </w:r>
      <w:r>
        <w:rPr>
          <w:rStyle w:val="normaltextrun"/>
          <w:color w:val="000000"/>
          <w:sz w:val="28"/>
          <w:szCs w:val="28"/>
        </w:rPr>
        <w:t xml:space="preserve">, по результатам рассмотрения которых </w:t>
      </w:r>
      <w:r w:rsidR="0021402B">
        <w:rPr>
          <w:rStyle w:val="normaltextrun"/>
          <w:color w:val="000000"/>
          <w:sz w:val="28"/>
          <w:szCs w:val="28"/>
        </w:rPr>
        <w:t xml:space="preserve">им </w:t>
      </w:r>
      <w:r>
        <w:rPr>
          <w:rStyle w:val="normaltextrun"/>
          <w:color w:val="000000"/>
          <w:sz w:val="28"/>
          <w:szCs w:val="28"/>
        </w:rPr>
        <w:t xml:space="preserve">назначены штрафы </w:t>
      </w:r>
      <w:r w:rsidR="0021402B">
        <w:rPr>
          <w:rStyle w:val="normaltextrun"/>
          <w:color w:val="000000"/>
          <w:sz w:val="28"/>
          <w:szCs w:val="28"/>
        </w:rPr>
        <w:t>по 5</w:t>
      </w:r>
      <w:r>
        <w:rPr>
          <w:rStyle w:val="normaltextrun"/>
          <w:color w:val="000000"/>
          <w:sz w:val="28"/>
          <w:szCs w:val="28"/>
        </w:rPr>
        <w:t> 000 рублей.</w:t>
      </w:r>
      <w:r>
        <w:rPr>
          <w:rStyle w:val="eop"/>
          <w:sz w:val="28"/>
          <w:szCs w:val="28"/>
        </w:rPr>
        <w:t> </w:t>
      </w:r>
    </w:p>
    <w:p w:rsidR="007B1443" w:rsidRDefault="007B1443" w:rsidP="007B1443">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21402B" w:rsidRPr="007E34A7" w:rsidRDefault="007B1443" w:rsidP="0021402B">
      <w:pPr>
        <w:pStyle w:val="paragraph"/>
        <w:spacing w:before="0" w:beforeAutospacing="0" w:after="0" w:afterAutospacing="0"/>
        <w:ind w:firstLine="705"/>
        <w:jc w:val="both"/>
        <w:textAlignment w:val="baseline"/>
        <w:rPr>
          <w:sz w:val="28"/>
          <w:szCs w:val="28"/>
        </w:rPr>
      </w:pPr>
      <w:r>
        <w:rPr>
          <w:rStyle w:val="normaltextrun"/>
          <w:sz w:val="28"/>
          <w:szCs w:val="28"/>
        </w:rPr>
        <w:t xml:space="preserve">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w:t>
      </w:r>
      <w:r w:rsidR="0021402B">
        <w:rPr>
          <w:rStyle w:val="normaltextrun"/>
          <w:sz w:val="28"/>
          <w:szCs w:val="28"/>
        </w:rPr>
        <w:t>Яльчикского</w:t>
      </w:r>
      <w:r>
        <w:rPr>
          <w:rStyle w:val="normaltextrun"/>
          <w:sz w:val="28"/>
          <w:szCs w:val="28"/>
        </w:rPr>
        <w:t xml:space="preserve"> района по тел</w:t>
      </w:r>
      <w:r w:rsidR="0021402B">
        <w:rPr>
          <w:rStyle w:val="normaltextrun"/>
          <w:sz w:val="28"/>
          <w:szCs w:val="28"/>
        </w:rPr>
        <w:t xml:space="preserve">ефонам «горячей» линии </w:t>
      </w:r>
      <w:r w:rsidR="0021402B" w:rsidRPr="007E34A7">
        <w:rPr>
          <w:sz w:val="28"/>
          <w:szCs w:val="28"/>
        </w:rPr>
        <w:t>(883549) 2-61-99, 2-59-05 в рабочее время с 9 до 18 часов по московскому времени.</w:t>
      </w:r>
    </w:p>
    <w:p w:rsidR="0021402B" w:rsidRDefault="0021402B" w:rsidP="0021402B">
      <w:pPr>
        <w:spacing w:after="0" w:line="240" w:lineRule="exact"/>
        <w:ind w:right="-187" w:firstLine="720"/>
        <w:jc w:val="both"/>
        <w:rPr>
          <w:rFonts w:ascii="Times New Roman" w:hAnsi="Times New Roman" w:cs="Times New Roman"/>
          <w:sz w:val="28"/>
          <w:szCs w:val="28"/>
        </w:rPr>
      </w:pPr>
    </w:p>
    <w:p w:rsidR="0021402B" w:rsidRPr="00552CF0" w:rsidRDefault="0021402B" w:rsidP="0021402B">
      <w:pPr>
        <w:spacing w:after="0" w:line="240" w:lineRule="exact"/>
        <w:ind w:right="-187" w:firstLine="720"/>
        <w:jc w:val="both"/>
        <w:rPr>
          <w:rFonts w:ascii="Times New Roman" w:hAnsi="Times New Roman" w:cs="Times New Roman"/>
          <w:sz w:val="28"/>
          <w:szCs w:val="28"/>
        </w:rPr>
      </w:pPr>
    </w:p>
    <w:p w:rsidR="0021402B" w:rsidRDefault="0021402B" w:rsidP="0021402B">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21402B" w:rsidRDefault="0021402B" w:rsidP="0021402B">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21402B" w:rsidRPr="00552CF0" w:rsidRDefault="0021402B" w:rsidP="0021402B">
      <w:pPr>
        <w:spacing w:after="0" w:line="240" w:lineRule="exact"/>
        <w:ind w:right="-187"/>
        <w:jc w:val="both"/>
        <w:rPr>
          <w:rFonts w:ascii="Times New Roman" w:hAnsi="Times New Roman" w:cs="Times New Roman"/>
          <w:sz w:val="28"/>
          <w:szCs w:val="28"/>
        </w:rPr>
      </w:pPr>
    </w:p>
    <w:p w:rsidR="0021402B" w:rsidRPr="00552CF0" w:rsidRDefault="0021402B" w:rsidP="0021402B">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21402B" w:rsidRDefault="0021402B">
      <w:pPr>
        <w:spacing w:after="160" w:line="259" w:lineRule="auto"/>
        <w:rPr>
          <w:rStyle w:val="normaltextrun"/>
          <w:rFonts w:ascii="Times New Roman" w:eastAsia="Times New Roman" w:hAnsi="Times New Roman" w:cs="Times New Roman"/>
          <w:sz w:val="28"/>
          <w:szCs w:val="28"/>
          <w:lang w:eastAsia="ru-RU"/>
        </w:rPr>
      </w:pPr>
      <w:r>
        <w:rPr>
          <w:rStyle w:val="normaltextrun"/>
          <w:sz w:val="28"/>
          <w:szCs w:val="28"/>
        </w:rPr>
        <w:br w:type="page"/>
      </w:r>
    </w:p>
    <w:p w:rsidR="007B1443" w:rsidRDefault="007B1443" w:rsidP="007B1443">
      <w:pPr>
        <w:pStyle w:val="paragraph"/>
        <w:spacing w:before="0" w:beforeAutospacing="0" w:after="0" w:afterAutospacing="0"/>
        <w:ind w:firstLine="705"/>
        <w:jc w:val="both"/>
        <w:textAlignment w:val="baseline"/>
        <w:rPr>
          <w:rFonts w:ascii="Segoe UI" w:hAnsi="Segoe UI" w:cs="Segoe UI"/>
          <w:sz w:val="18"/>
          <w:szCs w:val="18"/>
        </w:rPr>
      </w:pPr>
    </w:p>
    <w:p w:rsidR="007B144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18"/>
          <w:szCs w:val="18"/>
        </w:rPr>
      </w:pPr>
      <w:r>
        <w:rPr>
          <w:rStyle w:val="normaltextrun"/>
          <w:b/>
          <w:bCs/>
          <w:color w:val="000000"/>
          <w:sz w:val="28"/>
          <w:szCs w:val="28"/>
        </w:rPr>
        <w:t>Административная ответственность за нарушение нормативов обеспечения населения коммунальными услугами</w:t>
      </w:r>
      <w:r>
        <w:rPr>
          <w:rStyle w:val="eop"/>
          <w:b/>
          <w:bCs/>
          <w:sz w:val="28"/>
          <w:szCs w:val="28"/>
        </w:rPr>
        <w:t> </w:t>
      </w:r>
    </w:p>
    <w:p w:rsidR="007B144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Законодательством Российской Федерации, а именно статьей 7.23 Кодекса Российской Федерации об административных правонарушениях (далее – КоАП РФ), предусмотрена административная ответственность за нарушение нормативного уровня или режима обеспечения населения коммунальными услугами.</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Объектом данного правонарушения выступают общественные отношения в сфере предоставления потребителям коммунальных услуг.</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Коммунальные услуги предоставляются потребителю в порядке, предусмотренном федеральными законами, иными нормативными правовыми актами РФ 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РФ, к ним относятся: холодное водоснабжение, горячее водоснабжение, водоотведение, электроснабжение, газоснабжение (продажа бытового газа в баллонах), а также продажа твердого топлива при наличии печного отопления.</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Для применения данной статьи необходимо изучить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которым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Например, Приложением № 1 к Правилам установлено, что допустимая продолжительность перерыва подачи холодной воды составляет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 При этом, размер платы за предоставление коммунальной услуги ненадлежащего качества подлежит перерасчету.</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Следовательно, в случае прекращения подачи холодного водоснабжения </w:t>
      </w:r>
      <w:proofErr w:type="spellStart"/>
      <w:r>
        <w:rPr>
          <w:rStyle w:val="normaltextrun"/>
          <w:color w:val="000000"/>
          <w:sz w:val="28"/>
          <w:szCs w:val="28"/>
        </w:rPr>
        <w:t>ресурсоснабжающей</w:t>
      </w:r>
      <w:proofErr w:type="spellEnd"/>
      <w:r>
        <w:rPr>
          <w:rStyle w:val="normaltextrun"/>
          <w:color w:val="000000"/>
          <w:sz w:val="28"/>
          <w:szCs w:val="28"/>
        </w:rPr>
        <w:t> организацией свыше установленных сроков, она подлежит привлечению к административной ответственности по статье 7.23 КоАП РФ.</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Объективная сторона данного правонарушения выражается в противоправном действии (бездействии), которые нарушают нормативный уровень или режим обеспечения населения коммунальными услугами.</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Субъектом правонарушения являются должностные и юридические лица, обязанные обеспечивать нормативный уровень или режим обеспечения населения коммунальными услугами.</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 Санкция данной статьи предусматривает наказание в виде административного штрафа на должностных лиц в размере от 500 до 1000 рублей; на юридических лиц - от 5000 до 10000 рублей.</w:t>
      </w:r>
      <w:r>
        <w:rPr>
          <w:rStyle w:val="eop"/>
          <w:sz w:val="28"/>
          <w:szCs w:val="28"/>
        </w:rPr>
        <w:t> </w:t>
      </w:r>
    </w:p>
    <w:p w:rsidR="005E02C3" w:rsidRDefault="005E02C3" w:rsidP="005E02C3">
      <w:pPr>
        <w:spacing w:after="0" w:line="240" w:lineRule="exact"/>
        <w:ind w:right="-187"/>
        <w:jc w:val="both"/>
        <w:rPr>
          <w:rStyle w:val="eop"/>
          <w:sz w:val="28"/>
          <w:szCs w:val="28"/>
        </w:rPr>
      </w:pPr>
    </w:p>
    <w:p w:rsidR="005E02C3" w:rsidRDefault="005E02C3" w:rsidP="005E02C3">
      <w:pPr>
        <w:spacing w:after="0" w:line="240" w:lineRule="exact"/>
        <w:ind w:right="-187"/>
        <w:jc w:val="both"/>
        <w:rPr>
          <w:rFonts w:ascii="Times New Roman" w:hAnsi="Times New Roman" w:cs="Times New Roman"/>
          <w:sz w:val="28"/>
          <w:szCs w:val="28"/>
        </w:rPr>
      </w:pPr>
    </w:p>
    <w:p w:rsidR="005E02C3" w:rsidRDefault="005E02C3" w:rsidP="005E02C3">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E02C3" w:rsidRDefault="005E02C3" w:rsidP="005E02C3">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E02C3" w:rsidRPr="00552CF0" w:rsidRDefault="005E02C3" w:rsidP="005E02C3">
      <w:pPr>
        <w:spacing w:after="0" w:line="240" w:lineRule="exact"/>
        <w:ind w:right="-187"/>
        <w:jc w:val="both"/>
        <w:rPr>
          <w:rFonts w:ascii="Times New Roman" w:hAnsi="Times New Roman" w:cs="Times New Roman"/>
          <w:sz w:val="28"/>
          <w:szCs w:val="28"/>
        </w:rPr>
      </w:pPr>
    </w:p>
    <w:p w:rsidR="005E02C3" w:rsidRPr="00552CF0" w:rsidRDefault="005E02C3" w:rsidP="005E02C3">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7B1443" w:rsidRDefault="007B1443" w:rsidP="007B1443"/>
    <w:p w:rsidR="007B1443" w:rsidRPr="005F7EBC" w:rsidRDefault="007B1443" w:rsidP="005F7EBC">
      <w:pPr>
        <w:spacing w:after="160" w:line="259" w:lineRule="auto"/>
        <w:jc w:val="center"/>
        <w:rPr>
          <w:rFonts w:ascii="Times New Roman" w:hAnsi="Times New Roman" w:cs="Times New Roman"/>
        </w:rPr>
      </w:pPr>
      <w:r w:rsidRPr="005F7EBC">
        <w:rPr>
          <w:rStyle w:val="normaltextrun"/>
          <w:rFonts w:ascii="Times New Roman" w:hAnsi="Times New Roman" w:cs="Times New Roman"/>
          <w:b/>
          <w:bCs/>
          <w:color w:val="000000"/>
          <w:sz w:val="28"/>
          <w:szCs w:val="28"/>
        </w:rPr>
        <w:t>Административная ответственность за неисполнение подрядчиком муниципального контракта</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eop"/>
          <w:sz w:val="28"/>
          <w:szCs w:val="28"/>
        </w:rPr>
        <w:t> </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normaltextrun"/>
          <w:color w:val="000000"/>
          <w:sz w:val="28"/>
          <w:szCs w:val="28"/>
        </w:rPr>
        <w:t>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таких закупок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E02C3">
        <w:rPr>
          <w:rStyle w:val="eop"/>
          <w:sz w:val="28"/>
          <w:szCs w:val="28"/>
        </w:rPr>
        <w:t> </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normaltextrun"/>
          <w:color w:val="000000"/>
          <w:sz w:val="28"/>
          <w:szCs w:val="28"/>
        </w:rPr>
        <w:t>Согласно ч. 13 ст. 34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r w:rsidRPr="005E02C3">
        <w:rPr>
          <w:rStyle w:val="eop"/>
          <w:sz w:val="28"/>
          <w:szCs w:val="28"/>
        </w:rPr>
        <w:t> </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normaltextrun"/>
          <w:color w:val="000000"/>
          <w:sz w:val="28"/>
          <w:szCs w:val="28"/>
        </w:rPr>
        <w:t>Частью 2 ст. 34 Закона о контрактной системе предусмотрено, что при заключении и исполнении контракта изменение его условий не допускается.</w:t>
      </w:r>
      <w:r w:rsidRPr="005E02C3">
        <w:rPr>
          <w:rStyle w:val="eop"/>
          <w:sz w:val="28"/>
          <w:szCs w:val="28"/>
        </w:rPr>
        <w:t> </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normaltextrun"/>
          <w:color w:val="000000"/>
          <w:sz w:val="28"/>
          <w:szCs w:val="28"/>
        </w:rPr>
        <w:t>Подрядчик в соответствии с ч. 2 ст. 94 Закона о контрактной системе обязан к установленному контрактом сроку предоставить заказчику результаты выполнения работы, предусмотренные контрактом.</w:t>
      </w:r>
      <w:r w:rsidRPr="005E02C3">
        <w:rPr>
          <w:rStyle w:val="eop"/>
          <w:sz w:val="28"/>
          <w:szCs w:val="28"/>
        </w:rPr>
        <w:t> </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normaltextrun"/>
          <w:color w:val="000000"/>
          <w:sz w:val="28"/>
          <w:szCs w:val="28"/>
        </w:rPr>
        <w:t>За неисполнение предусмотренных контрактом обязательств подрядчику грозит административная ответственность, предусмотренная ч. 7 ст. 7.32 Кодекса Российской Федерации об административных правонарушениях -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w:t>
      </w:r>
      <w:r w:rsidRPr="005E02C3">
        <w:rPr>
          <w:rStyle w:val="eop"/>
          <w:sz w:val="28"/>
          <w:szCs w:val="28"/>
        </w:rPr>
        <w:t> </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normaltextrun"/>
          <w:color w:val="000000"/>
          <w:sz w:val="28"/>
          <w:szCs w:val="28"/>
        </w:rPr>
        <w:t>Санкция данной статьи предусматривает наказание в виде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r w:rsidRPr="005E02C3">
        <w:rPr>
          <w:rStyle w:val="eop"/>
          <w:sz w:val="28"/>
          <w:szCs w:val="28"/>
        </w:rPr>
        <w:t> </w:t>
      </w:r>
    </w:p>
    <w:p w:rsidR="007B1443" w:rsidRPr="005E02C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sidRPr="005E02C3">
        <w:rPr>
          <w:rStyle w:val="normaltextrun"/>
          <w:color w:val="000000"/>
          <w:sz w:val="28"/>
          <w:szCs w:val="28"/>
        </w:rPr>
        <w:t>Следует отметить, что существенность вреда может определяться его размером, характером, а также особой для потерпевшего ценностью нарушенного блага и, как правило, выражается в материальном ущербе, нарушении нормальной работы органов государственной власти и органов местного самоуправления, государственных и муниципальных учреждений.</w:t>
      </w:r>
      <w:r w:rsidRPr="005E02C3">
        <w:rPr>
          <w:rStyle w:val="eop"/>
          <w:sz w:val="28"/>
          <w:szCs w:val="28"/>
        </w:rPr>
        <w:t> </w:t>
      </w:r>
    </w:p>
    <w:p w:rsidR="005F7EBC" w:rsidRDefault="005F7EBC" w:rsidP="005E02C3">
      <w:pPr>
        <w:spacing w:after="0" w:line="240" w:lineRule="exact"/>
        <w:ind w:right="-187"/>
        <w:jc w:val="both"/>
      </w:pPr>
    </w:p>
    <w:p w:rsidR="005E02C3" w:rsidRDefault="005E02C3" w:rsidP="005E02C3">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E02C3" w:rsidRDefault="005E02C3" w:rsidP="005E02C3">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E02C3" w:rsidRPr="00552CF0" w:rsidRDefault="005E02C3" w:rsidP="005E02C3">
      <w:pPr>
        <w:spacing w:after="0" w:line="240" w:lineRule="exact"/>
        <w:ind w:right="-187"/>
        <w:jc w:val="both"/>
        <w:rPr>
          <w:rFonts w:ascii="Times New Roman" w:hAnsi="Times New Roman" w:cs="Times New Roman"/>
          <w:sz w:val="28"/>
          <w:szCs w:val="28"/>
        </w:rPr>
      </w:pPr>
    </w:p>
    <w:p w:rsidR="005E02C3" w:rsidRPr="00552CF0" w:rsidRDefault="005E02C3" w:rsidP="005E02C3">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7B1443" w:rsidRDefault="007B1443" w:rsidP="005F7EBC">
      <w:pPr>
        <w:spacing w:after="160" w:line="259" w:lineRule="auto"/>
      </w:pPr>
    </w:p>
    <w:p w:rsidR="007B144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18"/>
          <w:szCs w:val="18"/>
        </w:rPr>
      </w:pPr>
      <w:r>
        <w:rPr>
          <w:rStyle w:val="normaltextrun"/>
          <w:b/>
          <w:bCs/>
          <w:color w:val="000000"/>
          <w:sz w:val="28"/>
          <w:szCs w:val="28"/>
        </w:rPr>
        <w:t>Выдача средств индивидуальной защиты работникам дошкольных образовательных учреждений</w:t>
      </w:r>
      <w:r>
        <w:rPr>
          <w:rStyle w:val="eop"/>
          <w:b/>
          <w:bCs/>
          <w:sz w:val="28"/>
          <w:szCs w:val="28"/>
        </w:rPr>
        <w:t> </w:t>
      </w:r>
    </w:p>
    <w:p w:rsidR="007B144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Согласно трудовому законодательству работодатель обязан обеспечивать безопасность и условия труда, соответствующие государственным нормативным требованиям охраны труда (ст. 22 Трудового кодекса Российской Федерации).</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Соблюдение требований законодательства об охране труда тесно связано как с защитой жизни и здоровья самого работника, так с предметом и результатом его работы.</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В качестве примера вышеуказанной прямой зависимости можно рассмотреть трудовую деятельность работников дошкольных образовательных учреждений.</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Так, в дошкольных образовательных учреждениях имеются должности поваров, воспитателей, помощников воспитателей, выдача СИЗ которым регулируется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Минтруда России от 09.12.2014 № 997н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В соответствии с указанными требованиями работники пищеблока должны быть обеспечены: халатами, колпаками или косынками; воспитатели и помощники воспитателя обеспечиваются халатами светлых тонов; у помощника воспитателя дополнительно должны быть: фартук, колпак или косынка для раздачи пищи, фартук для мытья посуды и темный халат для уборки помещений.</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Указанные средства индивидуальной защиты в первую очередь влияют на соответствие деятельности работников санитарно-эпидемиологическому законодательству, а соответственно здоровью воспитанников дошкольных образовательных учреждений.</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Таким образом, работодателю необходимо уделять особое внимание выдаче средств индивидуальной защиты, так как их неполная выдача или несоответствие, плохое качество, изношенность могут повлечь вред здоровью лиц, непосредственно получающих результат деятельности работников, в связи с чем ответственное лицо будет нести ответственность как за нарушения требований охраны труда, так и за последствия таких нарушений</w:t>
      </w:r>
      <w:r>
        <w:rPr>
          <w:rStyle w:val="normaltextrun"/>
          <w:color w:val="000000"/>
        </w:rPr>
        <w:t>.</w:t>
      </w:r>
      <w:r>
        <w:rPr>
          <w:rStyle w:val="eop"/>
        </w:rPr>
        <w:t> </w:t>
      </w:r>
    </w:p>
    <w:p w:rsidR="007B1443" w:rsidRDefault="007B1443" w:rsidP="007B1443"/>
    <w:p w:rsidR="005E02C3" w:rsidRDefault="005E02C3" w:rsidP="005E02C3">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E02C3" w:rsidRDefault="005E02C3" w:rsidP="005E02C3">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E02C3" w:rsidRPr="00552CF0" w:rsidRDefault="005E02C3" w:rsidP="005E02C3">
      <w:pPr>
        <w:spacing w:after="0" w:line="240" w:lineRule="exact"/>
        <w:ind w:right="-187"/>
        <w:jc w:val="both"/>
        <w:rPr>
          <w:rFonts w:ascii="Times New Roman" w:hAnsi="Times New Roman" w:cs="Times New Roman"/>
          <w:sz w:val="28"/>
          <w:szCs w:val="28"/>
        </w:rPr>
      </w:pPr>
    </w:p>
    <w:p w:rsidR="005E02C3" w:rsidRPr="00552CF0" w:rsidRDefault="005E02C3" w:rsidP="005E02C3">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7B1443" w:rsidRDefault="007B1443" w:rsidP="007B1443"/>
    <w:p w:rsidR="005F7EBC" w:rsidRDefault="005F7EBC" w:rsidP="007B1443"/>
    <w:p w:rsidR="005F7EBC" w:rsidRDefault="005F7EBC" w:rsidP="007B1443"/>
    <w:p w:rsidR="005F7EBC" w:rsidRDefault="005F7EBC" w:rsidP="007B1443"/>
    <w:p w:rsidR="007B144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18"/>
          <w:szCs w:val="18"/>
        </w:rPr>
      </w:pPr>
      <w:r>
        <w:rPr>
          <w:rStyle w:val="normaltextrun"/>
          <w:b/>
          <w:bCs/>
          <w:color w:val="000000"/>
          <w:sz w:val="28"/>
          <w:szCs w:val="28"/>
        </w:rPr>
        <w:lastRenderedPageBreak/>
        <w:t>Исковое заявление о возмещение вреда, причиненного преступлением</w:t>
      </w:r>
      <w:r>
        <w:rPr>
          <w:rStyle w:val="eop"/>
          <w:b/>
          <w:bCs/>
          <w:sz w:val="28"/>
          <w:szCs w:val="28"/>
        </w:rPr>
        <w:t> </w:t>
      </w:r>
    </w:p>
    <w:p w:rsidR="007B144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Каждому человеку известно, что противоправные деяния, которые запрещены Уголовным кодексом Российской Федерации, не только несут в себе общественную опасность, но и в большинстве случаев причиняют имущественный вред потерпевшему.</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В соответствии с Конституцией Российской Федерации, признание, соблюдение и защита прав и свобод человека и гражданина является обязанностью государства, в том числе и охрана прав потерпевших, а также обеспечение данным лицам доступа к правосудию и компенсации причиненного ущерба.</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Согласно п. 1 ст. 1064 Гражданского кодекса Российской Федерации (далее –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Уголовно-процессуальный кодекс Российской Федерации (далее – УПК РФ), содержит норму, которая предусматривает защиту прав и законных интересов лиц и организаций, потерпевших от преступлений (ст. 6 УПК РФ).</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На практике исковое заявление о возмещении вреда, причиненного преступлением, чаще всего рассматривается в рамках конкретного уголовного дела, но это не исключает тот факт, что потерпевший может самостоятельно подать исковое заявление отдельно в рамках гражданского судопроизводства.</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Вместе с тем, рассмотрение гражданского иска в уголовном процессе имеет свои плюсы, например, такие как полнота исследования доказательств, освобождение от уплаты государственной пошлины, допускается произвольная форма искового заявления (но в письменном виде), а также немаловажным плюсом является то, что подсудность и подведомственность гражданского иска определяются подсудностью уголовного дела (ч. 10 ст. 31 УПК РФ).</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В соответствии со ст. 1082 ГК РФ,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 п.) или возместить причиненные убытки (пункт 2 статьи 15 ГК РФ).</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Таким образом, каждый человек и гражданин, которому причинен вред в результате совершения преступления обладает правом подачи искового заявления в рамках рассмотрения уголовного дела, либо отдельно в рамках гражданского судопроизводства.</w:t>
      </w:r>
      <w:r>
        <w:rPr>
          <w:rStyle w:val="eop"/>
          <w:sz w:val="28"/>
          <w:szCs w:val="28"/>
        </w:rPr>
        <w:t> </w:t>
      </w:r>
    </w:p>
    <w:p w:rsidR="005E02C3" w:rsidRDefault="005E02C3" w:rsidP="005E02C3">
      <w:pPr>
        <w:spacing w:after="0" w:line="240" w:lineRule="exact"/>
        <w:ind w:right="-187"/>
        <w:jc w:val="both"/>
        <w:rPr>
          <w:rFonts w:ascii="Times New Roman" w:hAnsi="Times New Roman" w:cs="Times New Roman"/>
          <w:sz w:val="28"/>
          <w:szCs w:val="28"/>
        </w:rPr>
      </w:pPr>
    </w:p>
    <w:p w:rsidR="005E02C3" w:rsidRDefault="005E02C3" w:rsidP="005E02C3">
      <w:pPr>
        <w:spacing w:after="0" w:line="240" w:lineRule="exact"/>
        <w:ind w:right="-187"/>
        <w:jc w:val="both"/>
        <w:rPr>
          <w:rFonts w:ascii="Times New Roman" w:hAnsi="Times New Roman" w:cs="Times New Roman"/>
          <w:sz w:val="28"/>
          <w:szCs w:val="28"/>
        </w:rPr>
      </w:pPr>
    </w:p>
    <w:p w:rsidR="005E02C3" w:rsidRDefault="005E02C3" w:rsidP="005E02C3">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E02C3" w:rsidRDefault="005E02C3" w:rsidP="005E02C3">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E02C3" w:rsidRPr="00552CF0" w:rsidRDefault="005E02C3" w:rsidP="005E02C3">
      <w:pPr>
        <w:spacing w:after="0" w:line="240" w:lineRule="exact"/>
        <w:ind w:right="-187"/>
        <w:jc w:val="both"/>
        <w:rPr>
          <w:rFonts w:ascii="Times New Roman" w:hAnsi="Times New Roman" w:cs="Times New Roman"/>
          <w:sz w:val="28"/>
          <w:szCs w:val="28"/>
        </w:rPr>
      </w:pPr>
    </w:p>
    <w:p w:rsidR="005E02C3" w:rsidRPr="00552CF0" w:rsidRDefault="005E02C3" w:rsidP="005E02C3">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21781E"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21781E"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21781E"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5F7EBC" w:rsidRDefault="005F7EBC"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bookmarkStart w:id="0" w:name="_GoBack"/>
      <w:bookmarkEnd w:id="0"/>
    </w:p>
    <w:p w:rsidR="0021781E"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rsidR="007B144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18"/>
          <w:szCs w:val="18"/>
        </w:rPr>
      </w:pPr>
      <w:r>
        <w:rPr>
          <w:rStyle w:val="normaltextrun"/>
          <w:b/>
          <w:bCs/>
          <w:color w:val="000000"/>
          <w:sz w:val="28"/>
          <w:szCs w:val="28"/>
        </w:rPr>
        <w:t>Что означает понятие «конфликт интересов» должностного лица?</w:t>
      </w:r>
      <w:r>
        <w:rPr>
          <w:rStyle w:val="eop"/>
          <w:b/>
          <w:bCs/>
          <w:sz w:val="28"/>
          <w:szCs w:val="28"/>
        </w:rPr>
        <w:t> </w:t>
      </w:r>
    </w:p>
    <w:p w:rsidR="007B144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Действующее антикоррупционное законодательство возлагает на должностных лиц органов государственной власти и местного самоуправления обязанность принимать меры по предотвращению и урегулированию конфликта интересов.</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(ст. 10 Федерального закона от 25.12.2008 № 273-ФЗ «О противодействии коррупции»).</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Должностные лица органов государственной власти и местного самоуправления обязаны принимать меры по недопущению любой возможности возникновения конфликта интересов.</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Pr>
          <w:rStyle w:val="eop"/>
          <w:sz w:val="28"/>
          <w:szCs w:val="28"/>
        </w:rPr>
        <w:t> </w:t>
      </w:r>
    </w:p>
    <w:p w:rsidR="007B144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Pr>
          <w:rStyle w:val="eop"/>
          <w:sz w:val="28"/>
          <w:szCs w:val="28"/>
        </w:rPr>
        <w:t> </w:t>
      </w:r>
    </w:p>
    <w:p w:rsidR="007B1443" w:rsidRDefault="007B1443" w:rsidP="007B1443"/>
    <w:p w:rsidR="005E02C3" w:rsidRDefault="005E02C3" w:rsidP="005E02C3">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E02C3" w:rsidRDefault="005E02C3" w:rsidP="005E02C3">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E02C3" w:rsidRPr="00552CF0" w:rsidRDefault="005E02C3" w:rsidP="005E02C3">
      <w:pPr>
        <w:spacing w:after="0" w:line="240" w:lineRule="exact"/>
        <w:ind w:right="-187"/>
        <w:jc w:val="both"/>
        <w:rPr>
          <w:rFonts w:ascii="Times New Roman" w:hAnsi="Times New Roman" w:cs="Times New Roman"/>
          <w:sz w:val="28"/>
          <w:szCs w:val="28"/>
        </w:rPr>
      </w:pPr>
    </w:p>
    <w:p w:rsidR="007B1443" w:rsidRDefault="005E02C3" w:rsidP="005E02C3">
      <w:pPr>
        <w:spacing w:after="0" w:line="240" w:lineRule="exact"/>
        <w:ind w:right="-185"/>
        <w:jc w:val="both"/>
      </w:pPr>
      <w:r w:rsidRPr="00552CF0">
        <w:rPr>
          <w:rFonts w:ascii="Times New Roman" w:hAnsi="Times New Roman" w:cs="Times New Roman"/>
          <w:sz w:val="28"/>
          <w:szCs w:val="28"/>
        </w:rPr>
        <w:t>советник юстиции                                                                                     В.В. Путяков</w:t>
      </w:r>
    </w:p>
    <w:p w:rsidR="009A0B0F" w:rsidRDefault="009A0B0F"/>
    <w:p w:rsidR="005F7EBC" w:rsidRDefault="005F7EBC"/>
    <w:p w:rsidR="005F7EBC" w:rsidRPr="005F7EBC" w:rsidRDefault="005F7EBC" w:rsidP="005F7EBC">
      <w:pPr>
        <w:spacing w:after="0" w:line="240" w:lineRule="auto"/>
        <w:jc w:val="center"/>
        <w:rPr>
          <w:rFonts w:ascii="Times New Roman" w:eastAsia="Times New Roman" w:hAnsi="Times New Roman" w:cs="Times New Roman"/>
          <w:sz w:val="20"/>
          <w:szCs w:val="20"/>
          <w:lang w:eastAsia="ru-RU"/>
        </w:rPr>
      </w:pPr>
      <w:r w:rsidRPr="005F7EBC">
        <w:rPr>
          <w:rFonts w:ascii="Times New Roman" w:eastAsia="Times New Roman" w:hAnsi="Times New Roman" w:cs="Times New Roman"/>
          <w:sz w:val="20"/>
          <w:szCs w:val="20"/>
          <w:lang w:eastAsia="ru-RU"/>
        </w:rPr>
        <w:t xml:space="preserve">Информационный бюллетень «Вестник </w:t>
      </w:r>
      <w:proofErr w:type="spellStart"/>
      <w:r w:rsidRPr="005F7EBC">
        <w:rPr>
          <w:rFonts w:ascii="Times New Roman" w:eastAsia="Times New Roman" w:hAnsi="Times New Roman" w:cs="Times New Roman"/>
          <w:sz w:val="20"/>
          <w:szCs w:val="20"/>
          <w:lang w:eastAsia="ru-RU"/>
        </w:rPr>
        <w:t>Малотаябинского</w:t>
      </w:r>
      <w:proofErr w:type="spellEnd"/>
      <w:r w:rsidRPr="005F7EBC">
        <w:rPr>
          <w:rFonts w:ascii="Times New Roman" w:eastAsia="Times New Roman" w:hAnsi="Times New Roman" w:cs="Times New Roman"/>
          <w:sz w:val="20"/>
          <w:szCs w:val="20"/>
          <w:lang w:eastAsia="ru-RU"/>
        </w:rPr>
        <w:t xml:space="preserve"> сельского поселения </w:t>
      </w:r>
      <w:proofErr w:type="spellStart"/>
      <w:r w:rsidRPr="005F7EBC">
        <w:rPr>
          <w:rFonts w:ascii="Times New Roman" w:eastAsia="Times New Roman" w:hAnsi="Times New Roman" w:cs="Times New Roman"/>
          <w:sz w:val="20"/>
          <w:szCs w:val="20"/>
          <w:lang w:eastAsia="ru-RU"/>
        </w:rPr>
        <w:t>Яльчикского</w:t>
      </w:r>
      <w:proofErr w:type="spellEnd"/>
      <w:r w:rsidRPr="005F7EBC">
        <w:rPr>
          <w:rFonts w:ascii="Times New Roman" w:eastAsia="Times New Roman" w:hAnsi="Times New Roman" w:cs="Times New Roman"/>
          <w:sz w:val="20"/>
          <w:szCs w:val="20"/>
          <w:lang w:eastAsia="ru-RU"/>
        </w:rPr>
        <w:t xml:space="preserve"> района»</w:t>
      </w:r>
    </w:p>
    <w:p w:rsidR="005F7EBC" w:rsidRPr="005F7EBC" w:rsidRDefault="005F7EBC" w:rsidP="005F7EBC">
      <w:pPr>
        <w:spacing w:after="0" w:line="240" w:lineRule="auto"/>
        <w:jc w:val="center"/>
        <w:rPr>
          <w:rFonts w:ascii="Times New Roman" w:eastAsia="Times New Roman" w:hAnsi="Times New Roman" w:cs="Times New Roman"/>
          <w:sz w:val="20"/>
          <w:szCs w:val="20"/>
          <w:lang w:eastAsia="ru-RU"/>
        </w:rPr>
      </w:pPr>
      <w:proofErr w:type="gramStart"/>
      <w:r w:rsidRPr="005F7EBC">
        <w:rPr>
          <w:rFonts w:ascii="Times New Roman" w:eastAsia="Times New Roman" w:hAnsi="Times New Roman" w:cs="Times New Roman"/>
          <w:sz w:val="20"/>
          <w:szCs w:val="20"/>
          <w:lang w:eastAsia="ru-RU"/>
        </w:rPr>
        <w:t>отпечатан  в</w:t>
      </w:r>
      <w:proofErr w:type="gramEnd"/>
      <w:r w:rsidRPr="005F7EBC">
        <w:rPr>
          <w:rFonts w:ascii="Times New Roman" w:eastAsia="Times New Roman" w:hAnsi="Times New Roman" w:cs="Times New Roman"/>
          <w:sz w:val="20"/>
          <w:szCs w:val="20"/>
          <w:lang w:eastAsia="ru-RU"/>
        </w:rPr>
        <w:t xml:space="preserve"> администрации </w:t>
      </w:r>
      <w:proofErr w:type="spellStart"/>
      <w:r w:rsidRPr="005F7EBC">
        <w:rPr>
          <w:rFonts w:ascii="Times New Roman" w:eastAsia="Times New Roman" w:hAnsi="Times New Roman" w:cs="Times New Roman"/>
          <w:sz w:val="20"/>
          <w:szCs w:val="20"/>
          <w:lang w:eastAsia="ru-RU"/>
        </w:rPr>
        <w:t>Малотаябинского</w:t>
      </w:r>
      <w:proofErr w:type="spellEnd"/>
      <w:r w:rsidRPr="005F7EBC">
        <w:rPr>
          <w:rFonts w:ascii="Times New Roman" w:eastAsia="Times New Roman" w:hAnsi="Times New Roman" w:cs="Times New Roman"/>
          <w:sz w:val="20"/>
          <w:szCs w:val="20"/>
          <w:lang w:eastAsia="ru-RU"/>
        </w:rPr>
        <w:t xml:space="preserve"> сельского поселения </w:t>
      </w:r>
      <w:proofErr w:type="spellStart"/>
      <w:r w:rsidRPr="005F7EBC">
        <w:rPr>
          <w:rFonts w:ascii="Times New Roman" w:eastAsia="Times New Roman" w:hAnsi="Times New Roman" w:cs="Times New Roman"/>
          <w:sz w:val="20"/>
          <w:szCs w:val="20"/>
          <w:lang w:eastAsia="ru-RU"/>
        </w:rPr>
        <w:t>Яльчикского</w:t>
      </w:r>
      <w:proofErr w:type="spellEnd"/>
      <w:r w:rsidRPr="005F7EBC">
        <w:rPr>
          <w:rFonts w:ascii="Times New Roman" w:eastAsia="Times New Roman" w:hAnsi="Times New Roman" w:cs="Times New Roman"/>
          <w:sz w:val="20"/>
          <w:szCs w:val="20"/>
          <w:lang w:eastAsia="ru-RU"/>
        </w:rPr>
        <w:t xml:space="preserve"> района Чувашской Республики</w:t>
      </w:r>
    </w:p>
    <w:p w:rsidR="005F7EBC" w:rsidRPr="005F7EBC" w:rsidRDefault="005F7EBC" w:rsidP="005F7EBC">
      <w:pPr>
        <w:spacing w:after="0" w:line="240" w:lineRule="auto"/>
        <w:jc w:val="center"/>
        <w:rPr>
          <w:rFonts w:ascii="Times New Roman" w:eastAsia="Times New Roman" w:hAnsi="Times New Roman" w:cs="Times New Roman"/>
          <w:sz w:val="20"/>
          <w:szCs w:val="20"/>
          <w:lang w:eastAsia="ru-RU"/>
        </w:rPr>
      </w:pPr>
      <w:r w:rsidRPr="005F7EBC">
        <w:rPr>
          <w:rFonts w:ascii="Times New Roman" w:eastAsia="Times New Roman" w:hAnsi="Times New Roman" w:cs="Times New Roman"/>
          <w:sz w:val="20"/>
          <w:szCs w:val="20"/>
          <w:lang w:eastAsia="ru-RU"/>
        </w:rPr>
        <w:t xml:space="preserve">Адрес: </w:t>
      </w:r>
      <w:proofErr w:type="spellStart"/>
      <w:r w:rsidRPr="005F7EBC">
        <w:rPr>
          <w:rFonts w:ascii="Times New Roman" w:eastAsia="Times New Roman" w:hAnsi="Times New Roman" w:cs="Times New Roman"/>
          <w:sz w:val="20"/>
          <w:szCs w:val="20"/>
          <w:lang w:eastAsia="ru-RU"/>
        </w:rPr>
        <w:t>д.Малая</w:t>
      </w:r>
      <w:proofErr w:type="spellEnd"/>
      <w:r w:rsidRPr="005F7EBC">
        <w:rPr>
          <w:rFonts w:ascii="Times New Roman" w:eastAsia="Times New Roman" w:hAnsi="Times New Roman" w:cs="Times New Roman"/>
          <w:sz w:val="20"/>
          <w:szCs w:val="20"/>
          <w:lang w:eastAsia="ru-RU"/>
        </w:rPr>
        <w:t xml:space="preserve"> </w:t>
      </w:r>
      <w:proofErr w:type="spellStart"/>
      <w:r w:rsidRPr="005F7EBC">
        <w:rPr>
          <w:rFonts w:ascii="Times New Roman" w:eastAsia="Times New Roman" w:hAnsi="Times New Roman" w:cs="Times New Roman"/>
          <w:sz w:val="20"/>
          <w:szCs w:val="20"/>
          <w:lang w:eastAsia="ru-RU"/>
        </w:rPr>
        <w:t>Таяба</w:t>
      </w:r>
      <w:proofErr w:type="spellEnd"/>
      <w:r w:rsidRPr="005F7EBC">
        <w:rPr>
          <w:rFonts w:ascii="Times New Roman" w:eastAsia="Times New Roman" w:hAnsi="Times New Roman" w:cs="Times New Roman"/>
          <w:sz w:val="20"/>
          <w:szCs w:val="20"/>
          <w:lang w:eastAsia="ru-RU"/>
        </w:rPr>
        <w:t xml:space="preserve">, ул. Новая, д.17                                 </w:t>
      </w:r>
      <w:proofErr w:type="gramStart"/>
      <w:r w:rsidRPr="005F7EBC">
        <w:rPr>
          <w:rFonts w:ascii="Times New Roman" w:eastAsia="Times New Roman" w:hAnsi="Times New Roman" w:cs="Times New Roman"/>
          <w:sz w:val="20"/>
          <w:szCs w:val="20"/>
          <w:lang w:eastAsia="ru-RU"/>
        </w:rPr>
        <w:t>Тираж  10</w:t>
      </w:r>
      <w:proofErr w:type="gramEnd"/>
      <w:r w:rsidRPr="005F7EBC">
        <w:rPr>
          <w:rFonts w:ascii="Times New Roman" w:eastAsia="Times New Roman" w:hAnsi="Times New Roman" w:cs="Times New Roman"/>
          <w:sz w:val="20"/>
          <w:szCs w:val="20"/>
          <w:lang w:eastAsia="ru-RU"/>
        </w:rPr>
        <w:t xml:space="preserve"> экз.</w:t>
      </w:r>
    </w:p>
    <w:sectPr w:rsidR="005F7EBC" w:rsidRPr="005F7EBC" w:rsidSect="005F7EBC">
      <w:pgSz w:w="11906" w:h="16838"/>
      <w:pgMar w:top="284" w:right="707"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08"/>
    <w:rsid w:val="001A51BF"/>
    <w:rsid w:val="0021402B"/>
    <w:rsid w:val="0021781E"/>
    <w:rsid w:val="002D1C34"/>
    <w:rsid w:val="004B18A3"/>
    <w:rsid w:val="005E02C3"/>
    <w:rsid w:val="005F7EBC"/>
    <w:rsid w:val="007B1443"/>
    <w:rsid w:val="009A0B0F"/>
    <w:rsid w:val="00B531DF"/>
    <w:rsid w:val="00ED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075C89-B7F2-4191-922A-FFC361A3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7B1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B1443"/>
  </w:style>
  <w:style w:type="character" w:customStyle="1" w:styleId="eop">
    <w:name w:val="eop"/>
    <w:basedOn w:val="a0"/>
    <w:rsid w:val="007B1443"/>
  </w:style>
  <w:style w:type="character" w:customStyle="1" w:styleId="spellingerror">
    <w:name w:val="spellingerror"/>
    <w:basedOn w:val="a0"/>
    <w:rsid w:val="007B1443"/>
  </w:style>
  <w:style w:type="character" w:styleId="a4">
    <w:name w:val="Hyperlink"/>
    <w:basedOn w:val="a0"/>
    <w:uiPriority w:val="99"/>
    <w:semiHidden/>
    <w:unhideWhenUsed/>
    <w:rsid w:val="007B1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Заместитель</cp:lastModifiedBy>
  <cp:revision>3</cp:revision>
  <dcterms:created xsi:type="dcterms:W3CDTF">2020-04-01T07:48:00Z</dcterms:created>
  <dcterms:modified xsi:type="dcterms:W3CDTF">2020-04-01T07:52:00Z</dcterms:modified>
</cp:coreProperties>
</file>