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A4418" w:rsidTr="005327BB">
        <w:trPr>
          <w:cantSplit/>
          <w:trHeight w:val="710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73DE75F3" wp14:editId="385FEA82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AA4418" w:rsidTr="005327BB">
        <w:trPr>
          <w:cantSplit/>
          <w:trHeight w:val="2224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lang w:eastAsia="en-US"/>
              </w:rPr>
              <w:t>н</w:t>
            </w:r>
            <w:proofErr w:type="spellEnd"/>
            <w:proofErr w:type="gramEnd"/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AA4418" w:rsidRDefault="00AA4418" w:rsidP="005327BB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201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ç.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E7201E">
              <w:rPr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 xml:space="preserve">.  </w:t>
            </w:r>
            <w:r w:rsidR="009B6ACE">
              <w:rPr>
                <w:b/>
                <w:noProof/>
                <w:color w:val="000000" w:themeColor="text1"/>
                <w:sz w:val="24"/>
                <w:lang w:eastAsia="en-US"/>
              </w:rPr>
              <w:t>3</w:t>
            </w:r>
            <w:r w:rsidR="0059379A">
              <w:rPr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AA4418" w:rsidRDefault="00AA4418" w:rsidP="005327BB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A4418" w:rsidRDefault="00AA4418" w:rsidP="005327BB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rPr>
                <w:sz w:val="1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AA4418" w:rsidRDefault="00AA4418" w:rsidP="005327BB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AA4418" w:rsidRDefault="00E7201E" w:rsidP="0059379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.201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 xml:space="preserve"> </w:t>
            </w:r>
            <w:r w:rsidR="00AA4418">
              <w:rPr>
                <w:rFonts w:cs="Courier New"/>
                <w:b/>
                <w:noProof/>
                <w:sz w:val="24"/>
                <w:lang w:eastAsia="en-US"/>
              </w:rPr>
              <w:t>г.  №</w:t>
            </w:r>
            <w:r w:rsidR="009B6ACE">
              <w:rPr>
                <w:rFonts w:cs="Courier New"/>
                <w:b/>
                <w:noProof/>
                <w:sz w:val="24"/>
                <w:lang w:eastAsia="en-US"/>
              </w:rPr>
              <w:t>3</w:t>
            </w:r>
            <w:r w:rsidR="0059379A">
              <w:rPr>
                <w:rFonts w:cs="Courier New"/>
                <w:b/>
                <w:noProof/>
                <w:sz w:val="24"/>
                <w:lang w:eastAsia="en-US"/>
              </w:rPr>
              <w:t>4</w:t>
            </w:r>
          </w:p>
        </w:tc>
      </w:tr>
    </w:tbl>
    <w:p w:rsidR="0059379A" w:rsidRPr="000E284E" w:rsidRDefault="003B0660" w:rsidP="003B0660">
      <w:pPr>
        <w:rPr>
          <w:sz w:val="24"/>
          <w:szCs w:val="24"/>
        </w:rPr>
      </w:pPr>
      <w:r w:rsidRPr="000E284E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9379A" w:rsidRPr="0059379A" w:rsidTr="00525008">
        <w:trPr>
          <w:trHeight w:val="552"/>
        </w:trPr>
        <w:tc>
          <w:tcPr>
            <w:tcW w:w="5070" w:type="dxa"/>
            <w:hideMark/>
          </w:tcPr>
          <w:p w:rsidR="0059379A" w:rsidRPr="0059379A" w:rsidRDefault="0059379A" w:rsidP="0059379A">
            <w:pPr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bookmarkStart w:id="0" w:name="_Hlk534987232"/>
            <w:r w:rsidRPr="0059379A">
              <w:rPr>
                <w:b/>
                <w:color w:val="000000"/>
                <w:sz w:val="26"/>
                <w:szCs w:val="26"/>
                <w:lang w:eastAsia="ar-SA"/>
              </w:rPr>
              <w:t xml:space="preserve">Об установлении порядка обоснования закупок товаров, работ, услуг для обеспечения нужд администрации </w:t>
            </w:r>
            <w:proofErr w:type="spellStart"/>
            <w:r w:rsidRPr="0059379A">
              <w:rPr>
                <w:b/>
                <w:color w:val="000000"/>
                <w:sz w:val="26"/>
                <w:szCs w:val="26"/>
                <w:lang w:eastAsia="ar-SA"/>
              </w:rPr>
              <w:t>Чадукасинского</w:t>
            </w:r>
            <w:proofErr w:type="spellEnd"/>
            <w:r w:rsidRPr="0059379A">
              <w:rPr>
                <w:b/>
                <w:color w:val="000000"/>
                <w:sz w:val="26"/>
                <w:szCs w:val="26"/>
                <w:lang w:eastAsia="ar-SA"/>
              </w:rPr>
              <w:t xml:space="preserve"> сельского поселения Красноармейского района Чувашской Республики, формы плана закупок товаров, работ, услуг </w:t>
            </w:r>
            <w:bookmarkEnd w:id="0"/>
          </w:p>
        </w:tc>
      </w:tr>
    </w:tbl>
    <w:p w:rsidR="0059379A" w:rsidRPr="0059379A" w:rsidRDefault="0059379A" w:rsidP="0059379A">
      <w:pPr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59379A" w:rsidRPr="0059379A" w:rsidRDefault="0059379A" w:rsidP="0059379A">
      <w:pPr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</w:t>
      </w:r>
      <w:r w:rsidRPr="0059379A">
        <w:rPr>
          <w:color w:val="000000"/>
          <w:sz w:val="26"/>
          <w:szCs w:val="26"/>
          <w:lang w:eastAsia="ar-SA"/>
        </w:rPr>
        <w:tab/>
        <w:t xml:space="preserve">В соответствии со ст.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59379A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59379A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</w:t>
      </w:r>
      <w:proofErr w:type="gramStart"/>
      <w:r w:rsidRPr="0059379A">
        <w:rPr>
          <w:color w:val="000000"/>
          <w:sz w:val="26"/>
          <w:szCs w:val="26"/>
          <w:lang w:eastAsia="ar-SA"/>
        </w:rPr>
        <w:t>п</w:t>
      </w:r>
      <w:proofErr w:type="gramEnd"/>
      <w:r w:rsidRPr="0059379A">
        <w:rPr>
          <w:color w:val="000000"/>
          <w:sz w:val="26"/>
          <w:szCs w:val="26"/>
          <w:lang w:eastAsia="ar-SA"/>
        </w:rPr>
        <w:t xml:space="preserve"> о с т а н о в л я е т: </w:t>
      </w: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</w:t>
      </w:r>
      <w:r w:rsidRPr="0059379A">
        <w:rPr>
          <w:color w:val="000000"/>
          <w:sz w:val="26"/>
          <w:szCs w:val="26"/>
          <w:lang w:eastAsia="ar-SA"/>
        </w:rPr>
        <w:tab/>
        <w:t>1. Утвердить прилагаемые:</w:t>
      </w: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</w:t>
      </w:r>
      <w:r w:rsidRPr="0059379A">
        <w:rPr>
          <w:color w:val="000000"/>
          <w:sz w:val="26"/>
          <w:szCs w:val="26"/>
          <w:lang w:eastAsia="ar-SA"/>
        </w:rPr>
        <w:tab/>
        <w:t xml:space="preserve">- Правила обоснования закупок товаров, работ и услуг для обеспечения нужд администрации </w:t>
      </w:r>
      <w:proofErr w:type="spellStart"/>
      <w:r w:rsidRPr="0059379A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59379A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(приложение № 1);</w:t>
      </w: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</w:t>
      </w:r>
      <w:r w:rsidRPr="0059379A">
        <w:rPr>
          <w:color w:val="000000"/>
          <w:sz w:val="26"/>
          <w:szCs w:val="26"/>
          <w:lang w:eastAsia="ar-SA"/>
        </w:rPr>
        <w:tab/>
        <w:t xml:space="preserve">- форму обоснования закупок товаров, работ и услуг для обеспечения нужд администрации </w:t>
      </w:r>
      <w:proofErr w:type="spellStart"/>
      <w:r w:rsidRPr="0059379A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59379A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при формировании и утверждении плана закупок (приложение № 2);</w:t>
      </w: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</w:t>
      </w:r>
      <w:r w:rsidRPr="0059379A">
        <w:rPr>
          <w:color w:val="000000"/>
          <w:sz w:val="26"/>
          <w:szCs w:val="26"/>
          <w:lang w:eastAsia="ar-SA"/>
        </w:rPr>
        <w:tab/>
        <w:t xml:space="preserve">- форму обоснования закупок товаров, работ и услуг для обеспечения нужд администрации </w:t>
      </w:r>
      <w:proofErr w:type="spellStart"/>
      <w:r w:rsidRPr="0059379A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59379A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при формировании и утверждении плана-графика закупок (приложение № 3).</w:t>
      </w:r>
    </w:p>
    <w:p w:rsidR="0059379A" w:rsidRPr="0059379A" w:rsidRDefault="0059379A" w:rsidP="0059379A">
      <w:pPr>
        <w:ind w:firstLine="540"/>
        <w:jc w:val="both"/>
        <w:rPr>
          <w:color w:val="000000"/>
          <w:sz w:val="26"/>
          <w:szCs w:val="26"/>
        </w:rPr>
      </w:pPr>
      <w:r w:rsidRPr="0059379A">
        <w:rPr>
          <w:color w:val="000000"/>
          <w:sz w:val="26"/>
          <w:szCs w:val="26"/>
        </w:rPr>
        <w:t xml:space="preserve">  2. Настоящее постановление вступает в силу после официального опубликования в информационном издании «</w:t>
      </w:r>
      <w:proofErr w:type="spellStart"/>
      <w:r w:rsidR="00684862">
        <w:rPr>
          <w:color w:val="000000"/>
          <w:sz w:val="26"/>
          <w:szCs w:val="26"/>
        </w:rPr>
        <w:t>Чадукасинский</w:t>
      </w:r>
      <w:proofErr w:type="spellEnd"/>
      <w:r w:rsidR="00684862">
        <w:rPr>
          <w:color w:val="000000"/>
          <w:sz w:val="26"/>
          <w:szCs w:val="26"/>
        </w:rPr>
        <w:t xml:space="preserve"> вестник</w:t>
      </w:r>
      <w:bookmarkStart w:id="1" w:name="_GoBack"/>
      <w:bookmarkEnd w:id="1"/>
      <w:r w:rsidRPr="0059379A">
        <w:rPr>
          <w:color w:val="000000"/>
          <w:sz w:val="26"/>
          <w:szCs w:val="26"/>
        </w:rPr>
        <w:t>».</w:t>
      </w:r>
      <w:r w:rsidRPr="0059379A">
        <w:rPr>
          <w:color w:val="000000"/>
          <w:sz w:val="26"/>
          <w:szCs w:val="26"/>
          <w:lang w:eastAsia="ar-SA"/>
        </w:rPr>
        <w:t xml:space="preserve"> </w:t>
      </w:r>
    </w:p>
    <w:p w:rsidR="0059379A" w:rsidRPr="0059379A" w:rsidRDefault="0059379A" w:rsidP="0059379A">
      <w:pPr>
        <w:jc w:val="both"/>
        <w:rPr>
          <w:color w:val="000000"/>
          <w:sz w:val="26"/>
          <w:szCs w:val="26"/>
        </w:rPr>
      </w:pP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</w:p>
    <w:p w:rsidR="0059379A" w:rsidRPr="0059379A" w:rsidRDefault="0059379A" w:rsidP="0059379A">
      <w:pPr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          Глава </w:t>
      </w:r>
      <w:proofErr w:type="spellStart"/>
      <w:r w:rsidRPr="0059379A">
        <w:rPr>
          <w:color w:val="000000"/>
          <w:sz w:val="26"/>
          <w:szCs w:val="26"/>
          <w:lang w:eastAsia="ar-SA"/>
        </w:rPr>
        <w:t>Чадукасинского</w:t>
      </w:r>
      <w:proofErr w:type="spellEnd"/>
    </w:p>
    <w:p w:rsidR="0059379A" w:rsidRPr="0059379A" w:rsidRDefault="0059379A" w:rsidP="0059379A">
      <w:pPr>
        <w:tabs>
          <w:tab w:val="left" w:pos="6525"/>
        </w:tabs>
        <w:jc w:val="both"/>
        <w:rPr>
          <w:color w:val="000000"/>
          <w:sz w:val="26"/>
          <w:szCs w:val="26"/>
          <w:lang w:eastAsia="ar-SA"/>
        </w:rPr>
      </w:pPr>
      <w:r w:rsidRPr="0059379A">
        <w:rPr>
          <w:color w:val="000000"/>
          <w:sz w:val="26"/>
          <w:szCs w:val="26"/>
          <w:lang w:eastAsia="ar-SA"/>
        </w:rPr>
        <w:t xml:space="preserve">           сельского поселения</w:t>
      </w:r>
      <w:r w:rsidRPr="0059379A">
        <w:rPr>
          <w:color w:val="000000"/>
          <w:sz w:val="26"/>
          <w:szCs w:val="26"/>
          <w:lang w:eastAsia="ar-SA"/>
        </w:rPr>
        <w:tab/>
        <w:t>Михайлов Г.В.</w:t>
      </w:r>
    </w:p>
    <w:p w:rsidR="0059379A" w:rsidRPr="0059379A" w:rsidRDefault="0059379A" w:rsidP="0059379A">
      <w:pPr>
        <w:jc w:val="both"/>
        <w:rPr>
          <w:color w:val="000000"/>
          <w:sz w:val="24"/>
          <w:szCs w:val="24"/>
          <w:lang w:eastAsia="ar-SA"/>
        </w:rPr>
      </w:pPr>
    </w:p>
    <w:p w:rsidR="0059379A" w:rsidRPr="0059379A" w:rsidRDefault="0059379A" w:rsidP="0059379A">
      <w:pPr>
        <w:spacing w:line="288" w:lineRule="auto"/>
        <w:ind w:right="283"/>
        <w:jc w:val="both"/>
        <w:rPr>
          <w:color w:val="000000"/>
          <w:sz w:val="24"/>
          <w:szCs w:val="24"/>
          <w:lang w:eastAsia="ar-SA"/>
        </w:rPr>
      </w:pPr>
    </w:p>
    <w:p w:rsidR="0059379A" w:rsidRPr="0059379A" w:rsidRDefault="0059379A" w:rsidP="0059379A">
      <w:pPr>
        <w:spacing w:line="288" w:lineRule="auto"/>
        <w:ind w:right="283"/>
        <w:jc w:val="both"/>
        <w:rPr>
          <w:color w:val="000000"/>
          <w:sz w:val="24"/>
          <w:szCs w:val="24"/>
          <w:lang w:eastAsia="ar-SA"/>
        </w:rPr>
      </w:pPr>
    </w:p>
    <w:p w:rsidR="0059379A" w:rsidRPr="0059379A" w:rsidRDefault="0059379A" w:rsidP="0059379A">
      <w:pPr>
        <w:spacing w:line="288" w:lineRule="auto"/>
        <w:ind w:right="283"/>
        <w:jc w:val="both"/>
        <w:rPr>
          <w:i/>
          <w:color w:val="000000"/>
        </w:rPr>
      </w:pPr>
    </w:p>
    <w:p w:rsidR="0059379A" w:rsidRPr="0059379A" w:rsidRDefault="0059379A" w:rsidP="0059379A">
      <w:pPr>
        <w:spacing w:line="288" w:lineRule="auto"/>
        <w:ind w:right="283"/>
        <w:jc w:val="both"/>
        <w:rPr>
          <w:i/>
          <w:color w:val="000000"/>
        </w:rPr>
      </w:pPr>
    </w:p>
    <w:p w:rsidR="0059379A" w:rsidRPr="0059379A" w:rsidRDefault="0059379A" w:rsidP="0059379A">
      <w:pPr>
        <w:spacing w:line="288" w:lineRule="auto"/>
        <w:ind w:right="283"/>
        <w:jc w:val="both"/>
        <w:rPr>
          <w:i/>
          <w:color w:val="000000"/>
        </w:rPr>
        <w:sectPr w:rsidR="0059379A" w:rsidRPr="0059379A" w:rsidSect="00BA6CF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426" w:right="567" w:bottom="426" w:left="1701" w:header="720" w:footer="403" w:gutter="0"/>
          <w:pgNumType w:start="1"/>
          <w:cols w:space="720"/>
          <w:titlePg/>
        </w:sectPr>
      </w:pPr>
    </w:p>
    <w:p w:rsidR="0059379A" w:rsidRPr="0059379A" w:rsidRDefault="0059379A" w:rsidP="0059379A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 1     </w:t>
      </w:r>
    </w:p>
    <w:p w:rsidR="0059379A" w:rsidRPr="0059379A" w:rsidRDefault="0059379A" w:rsidP="0059379A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:rsidR="0059379A" w:rsidRPr="0059379A" w:rsidRDefault="0059379A" w:rsidP="0059379A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Красноармейского района</w:t>
      </w:r>
    </w:p>
    <w:p w:rsidR="0059379A" w:rsidRPr="0059379A" w:rsidRDefault="0059379A" w:rsidP="0059379A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№</w:t>
      </w:r>
      <w:r w:rsidR="00E7201E">
        <w:rPr>
          <w:rFonts w:eastAsia="Calibri"/>
          <w:color w:val="000000"/>
          <w:sz w:val="24"/>
          <w:szCs w:val="24"/>
          <w:lang w:eastAsia="en-US"/>
        </w:rPr>
        <w:t xml:space="preserve">34 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E7201E">
        <w:rPr>
          <w:rFonts w:eastAsia="Calibri"/>
          <w:color w:val="000000"/>
          <w:sz w:val="24"/>
          <w:szCs w:val="24"/>
          <w:lang w:eastAsia="en-US"/>
        </w:rPr>
        <w:t>10.04.2019г.</w:t>
      </w:r>
    </w:p>
    <w:p w:rsidR="0059379A" w:rsidRPr="0059379A" w:rsidRDefault="0059379A" w:rsidP="0059379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379A" w:rsidRPr="0059379A" w:rsidRDefault="0059379A" w:rsidP="0059379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379A" w:rsidRPr="0059379A" w:rsidRDefault="0059379A" w:rsidP="0059379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9379A">
        <w:rPr>
          <w:rFonts w:eastAsia="Calibri"/>
          <w:b/>
          <w:bCs/>
          <w:color w:val="000000"/>
          <w:sz w:val="24"/>
          <w:szCs w:val="24"/>
          <w:lang w:eastAsia="en-US"/>
        </w:rPr>
        <w:t>ПРАВИЛА</w:t>
      </w:r>
    </w:p>
    <w:p w:rsidR="0059379A" w:rsidRPr="0059379A" w:rsidRDefault="0059379A" w:rsidP="0059379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379A">
        <w:rPr>
          <w:b/>
          <w:color w:val="000000"/>
          <w:sz w:val="24"/>
          <w:szCs w:val="24"/>
        </w:rPr>
        <w:t xml:space="preserve">обоснования закупок товаров, работ и услуг для обеспечения нужд администрации </w:t>
      </w:r>
      <w:proofErr w:type="spellStart"/>
      <w:r w:rsidRPr="0059379A">
        <w:rPr>
          <w:b/>
          <w:color w:val="000000"/>
          <w:sz w:val="24"/>
          <w:szCs w:val="24"/>
        </w:rPr>
        <w:t>Чадукасинского</w:t>
      </w:r>
      <w:proofErr w:type="spellEnd"/>
      <w:r w:rsidRPr="0059379A">
        <w:rPr>
          <w:b/>
          <w:color w:val="000000"/>
          <w:sz w:val="24"/>
          <w:szCs w:val="24"/>
        </w:rPr>
        <w:t xml:space="preserve"> сельского поселения Красноармейского района </w:t>
      </w:r>
    </w:p>
    <w:p w:rsidR="0059379A" w:rsidRPr="0059379A" w:rsidRDefault="0059379A" w:rsidP="0059379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379A">
        <w:rPr>
          <w:b/>
          <w:color w:val="000000"/>
          <w:sz w:val="24"/>
          <w:szCs w:val="24"/>
        </w:rPr>
        <w:t>Чувашской Республики</w:t>
      </w:r>
    </w:p>
    <w:p w:rsidR="0059379A" w:rsidRPr="0059379A" w:rsidRDefault="0059379A" w:rsidP="0059379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1. Настоящие Правила устанавливают порядок обоснования закупок товаров, работ и услуг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 xml:space="preserve">Красноармейского района Чувашской Республики </w:t>
      </w:r>
      <w:r w:rsidRPr="0059379A">
        <w:rPr>
          <w:rFonts w:eastAsia="Calibri"/>
          <w:color w:val="000000"/>
          <w:sz w:val="24"/>
          <w:szCs w:val="24"/>
          <w:lang w:eastAsia="en-US"/>
        </w:rPr>
        <w:t>(далее – обоснование закупок).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2. Обоснование закупок осуществляется при формировании и утверждении: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а) планов закупок товаров, работ и услуг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</w:t>
      </w:r>
      <w:r w:rsidRPr="0059379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б) планов-графиков закупок товаров, работ и услуг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</w:t>
      </w:r>
      <w:r w:rsidRPr="0059379A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3. При обосновании закупок заказчик осуществляет: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а) обоснование выбора объекта и (или) объектов закупки в сроки, установленные: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- администрацией для формирования и утверждения планов закупок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</w:t>
      </w:r>
      <w:r w:rsidRPr="0059379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59379A">
        <w:rPr>
          <w:rFonts w:eastAsia="Calibri"/>
          <w:color w:val="000000"/>
          <w:sz w:val="24"/>
          <w:szCs w:val="24"/>
          <w:lang w:eastAsia="en-US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- администрацией для формирования и утверждения планов-графиков закупок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4. Обоснование закупок осуществляется заказчиками в соответствии: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а) </w:t>
      </w:r>
      <w:hyperlink r:id="rId12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формой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обоснования закупок товаров, работ и услуг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при формировании и утверждении планов закупок;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б) </w:t>
      </w:r>
      <w:hyperlink r:id="rId13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формой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обоснования закупок товаров, работ и услуг </w:t>
      </w:r>
      <w:r w:rsidRPr="0059379A">
        <w:rPr>
          <w:color w:val="000000"/>
          <w:sz w:val="24"/>
          <w:szCs w:val="24"/>
        </w:rPr>
        <w:t xml:space="preserve">для обеспечения нужд администрации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 w:rsidRPr="0059379A">
        <w:rPr>
          <w:color w:val="000000"/>
          <w:sz w:val="24"/>
          <w:szCs w:val="24"/>
        </w:rPr>
        <w:t>Красноармейского района Чувашской Республики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при формировании и утверждении планов-графиков закупок.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>5. В отношении закупок, осуществляемых в соответствии с пунктом 7 части 2 статьи 83, пунктом 3 части 2 статьи 83.1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6. В отношении закупок, осуществляемых в соответствии с </w:t>
      </w:r>
      <w:hyperlink r:id="rId14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пунктами 4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, </w:t>
      </w:r>
      <w:hyperlink r:id="rId15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5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, </w:t>
      </w:r>
      <w:hyperlink r:id="rId16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26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hyperlink r:id="rId17" w:history="1">
        <w:r w:rsidRPr="0059379A">
          <w:rPr>
            <w:rFonts w:eastAsia="Calibri"/>
            <w:color w:val="000000"/>
            <w:sz w:val="24"/>
            <w:szCs w:val="24"/>
            <w:lang w:eastAsia="en-US"/>
          </w:rPr>
          <w:t>33 части 1 статьи 93</w:t>
        </w:r>
      </w:hyperlink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59379A" w:rsidRPr="0059379A" w:rsidRDefault="0059379A" w:rsidP="0059379A">
      <w:pPr>
        <w:spacing w:line="288" w:lineRule="auto"/>
        <w:ind w:right="283"/>
        <w:jc w:val="both"/>
        <w:rPr>
          <w:color w:val="000000"/>
          <w:sz w:val="24"/>
          <w:szCs w:val="24"/>
        </w:rPr>
        <w:sectPr w:rsidR="0059379A" w:rsidRPr="0059379A" w:rsidSect="0085570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40"/>
          <w:pgMar w:top="992" w:right="709" w:bottom="1134" w:left="1559" w:header="720" w:footer="64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2"/>
      </w:tblGrid>
      <w:tr w:rsidR="0059379A" w:rsidRPr="0059379A" w:rsidTr="00E7201E">
        <w:trPr>
          <w:trHeight w:val="1138"/>
        </w:trPr>
        <w:tc>
          <w:tcPr>
            <w:tcW w:w="3882" w:type="dxa"/>
            <w:shd w:val="clear" w:color="auto" w:fill="auto"/>
          </w:tcPr>
          <w:p w:rsidR="0059379A" w:rsidRPr="0059379A" w:rsidRDefault="00E7201E" w:rsidP="00E72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59379A" w:rsidRPr="0059379A">
              <w:rPr>
                <w:color w:val="000000"/>
                <w:sz w:val="24"/>
                <w:szCs w:val="24"/>
              </w:rPr>
              <w:t xml:space="preserve">  № 2                      </w:t>
            </w:r>
          </w:p>
          <w:p w:rsidR="0059379A" w:rsidRPr="0059379A" w:rsidRDefault="0059379A" w:rsidP="00E7201E">
            <w:pPr>
              <w:rPr>
                <w:color w:val="000000"/>
                <w:sz w:val="24"/>
                <w:szCs w:val="24"/>
              </w:rPr>
            </w:pPr>
            <w:r w:rsidRPr="0059379A">
              <w:rPr>
                <w:color w:val="000000"/>
                <w:sz w:val="24"/>
                <w:szCs w:val="24"/>
              </w:rPr>
              <w:t xml:space="preserve">к постановлению администрации Красноармейского района        </w:t>
            </w:r>
          </w:p>
          <w:p w:rsidR="0059379A" w:rsidRPr="0059379A" w:rsidRDefault="0059379A" w:rsidP="00E7201E">
            <w:pPr>
              <w:rPr>
                <w:color w:val="000000"/>
                <w:sz w:val="24"/>
                <w:szCs w:val="24"/>
                <w:lang w:val="en-US"/>
              </w:rPr>
            </w:pPr>
            <w:r w:rsidRPr="0059379A">
              <w:rPr>
                <w:color w:val="000000"/>
                <w:sz w:val="24"/>
                <w:szCs w:val="24"/>
              </w:rPr>
              <w:t>№</w:t>
            </w:r>
            <w:r w:rsidR="00E7201E">
              <w:rPr>
                <w:color w:val="000000"/>
                <w:sz w:val="24"/>
                <w:szCs w:val="24"/>
              </w:rPr>
              <w:t>34</w:t>
            </w:r>
            <w:r w:rsidRPr="0059379A">
              <w:rPr>
                <w:color w:val="000000"/>
                <w:sz w:val="24"/>
                <w:szCs w:val="24"/>
              </w:rPr>
              <w:t xml:space="preserve"> от </w:t>
            </w:r>
            <w:r w:rsidR="00E7201E">
              <w:rPr>
                <w:color w:val="000000"/>
                <w:sz w:val="24"/>
                <w:szCs w:val="24"/>
              </w:rPr>
              <w:t>10.04.2019г.</w:t>
            </w:r>
          </w:p>
        </w:tc>
      </w:tr>
    </w:tbl>
    <w:p w:rsidR="0059379A" w:rsidRPr="0059379A" w:rsidRDefault="00E7201E" w:rsidP="0059379A">
      <w:pPr>
        <w:rPr>
          <w:b/>
          <w:bCs/>
          <w:color w:val="000000"/>
          <w:spacing w:val="60"/>
          <w:sz w:val="26"/>
          <w:szCs w:val="26"/>
        </w:rPr>
      </w:pPr>
      <w:r>
        <w:rPr>
          <w:b/>
          <w:bCs/>
          <w:color w:val="000000"/>
          <w:spacing w:val="60"/>
          <w:sz w:val="26"/>
          <w:szCs w:val="26"/>
        </w:rPr>
        <w:br w:type="textWrapping" w:clear="all"/>
      </w:r>
    </w:p>
    <w:p w:rsidR="0059379A" w:rsidRPr="0059379A" w:rsidRDefault="0059379A" w:rsidP="0059379A">
      <w:pPr>
        <w:jc w:val="center"/>
        <w:rPr>
          <w:b/>
          <w:color w:val="000000"/>
          <w:sz w:val="24"/>
          <w:szCs w:val="24"/>
        </w:rPr>
      </w:pPr>
      <w:r w:rsidRPr="0059379A">
        <w:rPr>
          <w:b/>
          <w:color w:val="000000"/>
          <w:sz w:val="24"/>
          <w:szCs w:val="24"/>
        </w:rPr>
        <w:t xml:space="preserve">Форма &lt;1&gt;  </w:t>
      </w:r>
    </w:p>
    <w:p w:rsidR="0059379A" w:rsidRPr="0059379A" w:rsidRDefault="0059379A" w:rsidP="0059379A">
      <w:pPr>
        <w:jc w:val="center"/>
        <w:rPr>
          <w:b/>
          <w:color w:val="000000"/>
          <w:sz w:val="24"/>
          <w:szCs w:val="24"/>
        </w:rPr>
      </w:pPr>
      <w:r w:rsidRPr="0059379A">
        <w:rPr>
          <w:b/>
          <w:color w:val="000000"/>
          <w:sz w:val="24"/>
          <w:szCs w:val="24"/>
        </w:rPr>
        <w:t>обоснования закупок товаров, работ и услуг для обеспечения нужд</w:t>
      </w:r>
    </w:p>
    <w:p w:rsidR="0059379A" w:rsidRPr="0059379A" w:rsidRDefault="0059379A" w:rsidP="0059379A">
      <w:pPr>
        <w:jc w:val="center"/>
        <w:rPr>
          <w:b/>
          <w:color w:val="000000"/>
          <w:sz w:val="24"/>
          <w:szCs w:val="24"/>
        </w:rPr>
      </w:pPr>
      <w:r w:rsidRPr="0059379A">
        <w:rPr>
          <w:b/>
          <w:color w:val="000000"/>
          <w:sz w:val="24"/>
          <w:szCs w:val="24"/>
        </w:rPr>
        <w:t xml:space="preserve">администрации </w:t>
      </w:r>
      <w:proofErr w:type="spellStart"/>
      <w:r w:rsidRPr="0059379A">
        <w:rPr>
          <w:rFonts w:eastAsia="Calibri"/>
          <w:b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сельского поселения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379A">
        <w:rPr>
          <w:b/>
          <w:color w:val="000000"/>
          <w:sz w:val="24"/>
          <w:szCs w:val="24"/>
        </w:rPr>
        <w:t>Красноармейского района Чувашской Республики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59379A" w:rsidRPr="0059379A" w:rsidTr="0052500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9379A"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9379A" w:rsidRPr="0059379A" w:rsidTr="0052500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9379A" w:rsidRPr="0059379A" w:rsidRDefault="0059379A" w:rsidP="0059379A">
      <w:pPr>
        <w:autoSpaceDE w:val="0"/>
        <w:autoSpaceDN w:val="0"/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134"/>
        <w:gridCol w:w="2552"/>
        <w:gridCol w:w="3572"/>
        <w:gridCol w:w="1985"/>
        <w:gridCol w:w="4933"/>
      </w:tblGrid>
      <w:tr w:rsidR="0059379A" w:rsidRPr="0059379A" w:rsidTr="00525008">
        <w:tc>
          <w:tcPr>
            <w:tcW w:w="567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 xml:space="preserve">№ </w:t>
            </w:r>
            <w:proofErr w:type="gramStart"/>
            <w:r w:rsidRPr="0059379A">
              <w:t>п</w:t>
            </w:r>
            <w:proofErr w:type="gramEnd"/>
            <w:r w:rsidRPr="0059379A">
              <w:t>/п</w:t>
            </w:r>
          </w:p>
        </w:tc>
        <w:tc>
          <w:tcPr>
            <w:tcW w:w="1021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Иденти</w:t>
            </w:r>
            <w:r w:rsidRPr="0059379A">
              <w:softHyphen/>
              <w:t>фикаци</w:t>
            </w:r>
            <w:r w:rsidRPr="0059379A">
              <w:softHyphen/>
              <w:t>онный код закуп</w:t>
            </w:r>
            <w:r w:rsidRPr="0059379A">
              <w:softHyphen/>
              <w:t>ки </w:t>
            </w:r>
            <w:r w:rsidRPr="0059379A">
              <w:rPr>
                <w:vertAlign w:val="superscript"/>
              </w:rPr>
              <w:t>&lt;2&gt;</w:t>
            </w:r>
          </w:p>
        </w:tc>
        <w:tc>
          <w:tcPr>
            <w:tcW w:w="1134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Наимено</w:t>
            </w:r>
            <w:r w:rsidRPr="0059379A"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proofErr w:type="gramStart"/>
            <w:r w:rsidRPr="0059379A"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4933" w:type="dxa"/>
            <w:vAlign w:val="center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proofErr w:type="gramStart"/>
            <w:r w:rsidRPr="0059379A"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9379A"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59379A" w:rsidRPr="0059379A" w:rsidTr="00525008">
        <w:tc>
          <w:tcPr>
            <w:tcW w:w="567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1</w:t>
            </w:r>
          </w:p>
        </w:tc>
        <w:tc>
          <w:tcPr>
            <w:tcW w:w="1021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2</w:t>
            </w:r>
          </w:p>
        </w:tc>
        <w:tc>
          <w:tcPr>
            <w:tcW w:w="1134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3</w:t>
            </w:r>
          </w:p>
        </w:tc>
        <w:tc>
          <w:tcPr>
            <w:tcW w:w="2552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4</w:t>
            </w:r>
          </w:p>
        </w:tc>
        <w:tc>
          <w:tcPr>
            <w:tcW w:w="3572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5</w:t>
            </w:r>
          </w:p>
        </w:tc>
        <w:tc>
          <w:tcPr>
            <w:tcW w:w="1985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6</w:t>
            </w:r>
          </w:p>
        </w:tc>
        <w:tc>
          <w:tcPr>
            <w:tcW w:w="4933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7</w:t>
            </w:r>
          </w:p>
        </w:tc>
      </w:tr>
      <w:tr w:rsidR="0059379A" w:rsidRPr="0059379A" w:rsidTr="00525008">
        <w:tc>
          <w:tcPr>
            <w:tcW w:w="567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</w:p>
        </w:tc>
        <w:tc>
          <w:tcPr>
            <w:tcW w:w="1021" w:type="dxa"/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3572" w:type="dxa"/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1985" w:type="dxa"/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4933" w:type="dxa"/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</w:tr>
    </w:tbl>
    <w:p w:rsidR="0059379A" w:rsidRPr="0059379A" w:rsidRDefault="0059379A" w:rsidP="0059379A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9379A">
              <w:rPr>
                <w:sz w:val="24"/>
                <w:szCs w:val="24"/>
              </w:rPr>
              <w:t>г</w:t>
            </w:r>
            <w:proofErr w:type="gramEnd"/>
            <w:r w:rsidRPr="0059379A">
              <w:rPr>
                <w:sz w:val="24"/>
                <w:szCs w:val="24"/>
              </w:rPr>
              <w:t>.</w:t>
            </w:r>
          </w:p>
        </w:tc>
      </w:tr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</w:tr>
    </w:tbl>
    <w:p w:rsidR="0059379A" w:rsidRPr="0059379A" w:rsidRDefault="0059379A" w:rsidP="0059379A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9379A">
              <w:rPr>
                <w:b/>
                <w:bCs/>
              </w:rPr>
              <w:t>М.П.</w:t>
            </w:r>
          </w:p>
        </w:tc>
      </w:tr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  <w:jc w:val="center"/>
            </w:pPr>
            <w:r w:rsidRPr="0059379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autoSpaceDE w:val="0"/>
              <w:autoSpaceDN w:val="0"/>
            </w:pPr>
          </w:p>
        </w:tc>
      </w:tr>
    </w:tbl>
    <w:p w:rsidR="0059379A" w:rsidRPr="0059379A" w:rsidRDefault="0059379A" w:rsidP="0059379A">
      <w:pPr>
        <w:autoSpaceDE w:val="0"/>
        <w:autoSpaceDN w:val="0"/>
        <w:rPr>
          <w:sz w:val="24"/>
          <w:szCs w:val="24"/>
          <w:lang w:val="en-US"/>
        </w:rPr>
      </w:pPr>
    </w:p>
    <w:p w:rsidR="0059379A" w:rsidRPr="0059379A" w:rsidRDefault="0059379A" w:rsidP="0059379A">
      <w:pPr>
        <w:autoSpaceDE w:val="0"/>
        <w:autoSpaceDN w:val="0"/>
        <w:adjustRightInd w:val="0"/>
        <w:jc w:val="both"/>
      </w:pPr>
      <w:r w:rsidRPr="0059379A">
        <w:t>--------------------------------</w:t>
      </w:r>
    </w:p>
    <w:p w:rsidR="0059379A" w:rsidRPr="0059379A" w:rsidRDefault="0059379A" w:rsidP="0059379A">
      <w:pPr>
        <w:autoSpaceDE w:val="0"/>
        <w:autoSpaceDN w:val="0"/>
        <w:adjustRightInd w:val="0"/>
        <w:ind w:firstLine="539"/>
        <w:jc w:val="both"/>
      </w:pPr>
      <w:bookmarkStart w:id="2" w:name="_Hlk533499061"/>
      <w:r w:rsidRPr="0059379A">
        <w:t xml:space="preserve">&lt;1&gt; </w:t>
      </w:r>
      <w:bookmarkEnd w:id="2"/>
      <w:r w:rsidRPr="0059379A"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59379A" w:rsidRPr="0059379A" w:rsidRDefault="0059379A" w:rsidP="0059379A">
      <w:pPr>
        <w:autoSpaceDE w:val="0"/>
        <w:autoSpaceDN w:val="0"/>
        <w:adjustRightInd w:val="0"/>
        <w:ind w:firstLine="540"/>
        <w:jc w:val="both"/>
      </w:pPr>
      <w:bookmarkStart w:id="3" w:name="_Hlk533499075"/>
      <w:r w:rsidRPr="0059379A">
        <w:t>&lt;2</w:t>
      </w:r>
      <w:proofErr w:type="gramStart"/>
      <w:r w:rsidRPr="0059379A">
        <w:t xml:space="preserve">&gt; </w:t>
      </w:r>
      <w:bookmarkEnd w:id="3"/>
      <w:r w:rsidRPr="0059379A">
        <w:t>Ф</w:t>
      </w:r>
      <w:proofErr w:type="gramEnd"/>
      <w:r w:rsidRPr="0059379A">
        <w:t xml:space="preserve">ормируется в соответствии со </w:t>
      </w:r>
      <w:hyperlink r:id="rId23" w:history="1">
        <w:r w:rsidRPr="0059379A">
          <w:t>статьей 23</w:t>
        </w:r>
      </w:hyperlink>
      <w:r w:rsidRPr="0059379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9379A" w:rsidRPr="0059379A" w:rsidRDefault="0059379A" w:rsidP="0059379A">
      <w:pPr>
        <w:rPr>
          <w:color w:val="000000"/>
          <w:sz w:val="24"/>
          <w:szCs w:val="24"/>
        </w:rPr>
      </w:pPr>
      <w:r w:rsidRPr="0059379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9379A" w:rsidRPr="0059379A" w:rsidRDefault="0059379A" w:rsidP="0059379A">
      <w:pPr>
        <w:rPr>
          <w:color w:val="000000"/>
          <w:sz w:val="24"/>
          <w:szCs w:val="24"/>
        </w:rPr>
      </w:pPr>
    </w:p>
    <w:p w:rsidR="0059379A" w:rsidRPr="0059379A" w:rsidRDefault="0059379A" w:rsidP="0059379A">
      <w:pPr>
        <w:rPr>
          <w:color w:val="000000"/>
          <w:sz w:val="24"/>
          <w:szCs w:val="24"/>
        </w:rPr>
      </w:pPr>
    </w:p>
    <w:p w:rsidR="0059379A" w:rsidRPr="0059379A" w:rsidRDefault="0059379A" w:rsidP="0059379A">
      <w:pPr>
        <w:keepNext/>
        <w:keepLines/>
        <w:contextualSpacing/>
        <w:rPr>
          <w:color w:val="000000"/>
          <w:sz w:val="24"/>
          <w:szCs w:val="24"/>
        </w:rPr>
      </w:pPr>
      <w:r w:rsidRPr="0059379A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3                      </w:t>
      </w:r>
    </w:p>
    <w:p w:rsidR="0059379A" w:rsidRPr="0059379A" w:rsidRDefault="0059379A" w:rsidP="0059379A">
      <w:pPr>
        <w:keepNext/>
        <w:keepLines/>
        <w:ind w:firstLine="708"/>
        <w:contextualSpacing/>
        <w:jc w:val="right"/>
        <w:rPr>
          <w:color w:val="000000"/>
          <w:sz w:val="24"/>
          <w:szCs w:val="24"/>
        </w:rPr>
      </w:pPr>
      <w:r w:rsidRPr="0059379A">
        <w:rPr>
          <w:color w:val="000000"/>
          <w:sz w:val="24"/>
          <w:szCs w:val="24"/>
        </w:rPr>
        <w:t>к постановлению администрации</w:t>
      </w:r>
    </w:p>
    <w:p w:rsidR="0059379A" w:rsidRPr="0059379A" w:rsidRDefault="0059379A" w:rsidP="0059379A">
      <w:pPr>
        <w:keepNext/>
        <w:keepLines/>
        <w:ind w:firstLine="708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9379A">
        <w:rPr>
          <w:rFonts w:eastAsia="Calibri"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59379A" w:rsidRPr="0059379A" w:rsidRDefault="0059379A" w:rsidP="0059379A">
      <w:pPr>
        <w:keepNext/>
        <w:keepLines/>
        <w:ind w:firstLine="708"/>
        <w:contextualSpacing/>
        <w:rPr>
          <w:color w:val="000000"/>
          <w:sz w:val="24"/>
          <w:szCs w:val="24"/>
        </w:rPr>
      </w:pPr>
      <w:r w:rsidRPr="0059379A">
        <w:rPr>
          <w:color w:val="000000"/>
          <w:sz w:val="24"/>
          <w:szCs w:val="24"/>
        </w:rPr>
        <w:t xml:space="preserve">Красноармейского района        </w:t>
      </w:r>
    </w:p>
    <w:p w:rsidR="0059379A" w:rsidRPr="0059379A" w:rsidRDefault="0059379A" w:rsidP="0059379A">
      <w:pPr>
        <w:keepNext/>
        <w:keepLines/>
        <w:autoSpaceDE w:val="0"/>
        <w:autoSpaceDN w:val="0"/>
        <w:adjustRightInd w:val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9379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9379A">
        <w:rPr>
          <w:rFonts w:eastAsia="Calibri"/>
          <w:color w:val="000000"/>
          <w:sz w:val="24"/>
          <w:szCs w:val="24"/>
          <w:lang w:eastAsia="en-US"/>
        </w:rPr>
        <w:t>№</w:t>
      </w:r>
      <w:r w:rsidR="00A679A7">
        <w:rPr>
          <w:rFonts w:eastAsia="Calibri"/>
          <w:color w:val="000000"/>
          <w:sz w:val="24"/>
          <w:szCs w:val="24"/>
          <w:lang w:eastAsia="en-US"/>
        </w:rPr>
        <w:t>34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от</w:t>
      </w:r>
      <w:r w:rsidR="00A679A7">
        <w:rPr>
          <w:rFonts w:eastAsia="Calibri"/>
          <w:color w:val="000000"/>
          <w:sz w:val="24"/>
          <w:szCs w:val="24"/>
          <w:lang w:eastAsia="en-US"/>
        </w:rPr>
        <w:t xml:space="preserve"> 10.04.2019г.</w:t>
      </w:r>
      <w:r w:rsidRPr="0059379A">
        <w:rPr>
          <w:rFonts w:eastAsia="Calibri"/>
          <w:color w:val="000000"/>
          <w:sz w:val="24"/>
          <w:szCs w:val="24"/>
          <w:lang w:eastAsia="en-US"/>
        </w:rPr>
        <w:t>_</w:t>
      </w:r>
    </w:p>
    <w:p w:rsidR="0059379A" w:rsidRPr="0059379A" w:rsidRDefault="0059379A" w:rsidP="0059379A">
      <w:pPr>
        <w:keepNext/>
        <w:keepLines/>
        <w:spacing w:line="288" w:lineRule="auto"/>
        <w:contextualSpacing/>
        <w:rPr>
          <w:i/>
          <w:color w:val="000000"/>
        </w:rPr>
      </w:pPr>
    </w:p>
    <w:p w:rsidR="0059379A" w:rsidRPr="0059379A" w:rsidRDefault="0059379A" w:rsidP="0059379A">
      <w:pPr>
        <w:keepNext/>
        <w:keepLines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9379A">
        <w:rPr>
          <w:rFonts w:eastAsia="Calibri"/>
          <w:b/>
          <w:color w:val="000000"/>
          <w:sz w:val="24"/>
          <w:szCs w:val="24"/>
          <w:lang w:eastAsia="en-US"/>
        </w:rPr>
        <w:t>Форма &lt;1&gt;</w:t>
      </w:r>
    </w:p>
    <w:p w:rsidR="0059379A" w:rsidRPr="0059379A" w:rsidRDefault="0059379A" w:rsidP="0059379A">
      <w:pPr>
        <w:keepNext/>
        <w:keepLines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59379A">
        <w:rPr>
          <w:rFonts w:eastAsia="Calibri"/>
          <w:b/>
          <w:color w:val="000000"/>
          <w:sz w:val="24"/>
          <w:szCs w:val="24"/>
          <w:lang w:eastAsia="en-US"/>
        </w:rPr>
        <w:t xml:space="preserve">обоснования закупок товаров, работ и услуг для обеспечения нужд администрации </w:t>
      </w:r>
      <w:proofErr w:type="spellStart"/>
      <w:r w:rsidRPr="0059379A">
        <w:rPr>
          <w:rFonts w:eastAsia="Calibri"/>
          <w:b/>
          <w:color w:val="000000"/>
          <w:sz w:val="24"/>
          <w:szCs w:val="24"/>
          <w:lang w:eastAsia="en-US"/>
        </w:rPr>
        <w:t>Чадукасинского</w:t>
      </w:r>
      <w:proofErr w:type="spellEnd"/>
      <w:r w:rsidRPr="0059379A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сельского поселения</w:t>
      </w:r>
      <w:r w:rsidRPr="0059379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379A">
        <w:rPr>
          <w:rFonts w:eastAsia="Calibri"/>
          <w:b/>
          <w:color w:val="000000"/>
          <w:sz w:val="24"/>
          <w:szCs w:val="24"/>
          <w:lang w:eastAsia="en-US"/>
        </w:rPr>
        <w:t>Красноармейского района Чувашской Республики 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6951"/>
        <w:gridCol w:w="2552"/>
      </w:tblGrid>
      <w:tr w:rsidR="0059379A" w:rsidRPr="0059379A" w:rsidTr="0052500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59379A"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379A" w:rsidRPr="0059379A" w:rsidTr="0052500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9379A" w:rsidRPr="0059379A" w:rsidRDefault="0059379A" w:rsidP="0059379A">
      <w:pPr>
        <w:keepNext/>
        <w:keepLines/>
        <w:autoSpaceDE w:val="0"/>
        <w:autoSpaceDN w:val="0"/>
        <w:contextualSpacing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020"/>
        <w:gridCol w:w="1701"/>
        <w:gridCol w:w="1758"/>
        <w:gridCol w:w="3686"/>
        <w:gridCol w:w="1985"/>
        <w:gridCol w:w="1304"/>
        <w:gridCol w:w="1361"/>
        <w:gridCol w:w="1361"/>
      </w:tblGrid>
      <w:tr w:rsidR="0059379A" w:rsidRPr="0059379A" w:rsidTr="00525008">
        <w:tc>
          <w:tcPr>
            <w:tcW w:w="595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 xml:space="preserve">№ </w:t>
            </w:r>
            <w:proofErr w:type="gramStart"/>
            <w:r w:rsidRPr="0059379A">
              <w:t>п</w:t>
            </w:r>
            <w:proofErr w:type="gramEnd"/>
            <w:r w:rsidRPr="0059379A">
              <w:t>/п</w:t>
            </w:r>
          </w:p>
        </w:tc>
        <w:tc>
          <w:tcPr>
            <w:tcW w:w="993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Иденти</w:t>
            </w:r>
            <w:r w:rsidRPr="0059379A">
              <w:softHyphen/>
              <w:t>фикаци</w:t>
            </w:r>
            <w:r w:rsidRPr="0059379A">
              <w:softHyphen/>
              <w:t>онный код закуп</w:t>
            </w:r>
            <w:r w:rsidRPr="0059379A">
              <w:softHyphen/>
              <w:t>ки </w:t>
            </w:r>
            <w:r w:rsidRPr="0059379A">
              <w:rPr>
                <w:vertAlign w:val="superscript"/>
              </w:rPr>
              <w:t>&lt;2&gt;</w:t>
            </w:r>
          </w:p>
        </w:tc>
        <w:tc>
          <w:tcPr>
            <w:tcW w:w="1020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Наимено</w:t>
            </w:r>
            <w:r w:rsidRPr="0059379A">
              <w:softHyphen/>
              <w:t>вание объекта закупки</w:t>
            </w:r>
          </w:p>
        </w:tc>
        <w:tc>
          <w:tcPr>
            <w:tcW w:w="1701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686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proofErr w:type="gramStart"/>
            <w:r w:rsidRPr="0059379A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 w:rsidRPr="0059379A"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9379A"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Способ определения поставщика (подрядчика, исполнителя)</w:t>
            </w:r>
          </w:p>
        </w:tc>
        <w:tc>
          <w:tcPr>
            <w:tcW w:w="1361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61" w:type="dxa"/>
            <w:vAlign w:val="center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Обоснование дополни</w:t>
            </w:r>
            <w:r w:rsidRPr="0059379A">
              <w:softHyphen/>
              <w:t>тельных требований к участникам закупки (при наличии таких требований)</w:t>
            </w:r>
          </w:p>
        </w:tc>
      </w:tr>
      <w:tr w:rsidR="0059379A" w:rsidRPr="0059379A" w:rsidTr="00525008">
        <w:tc>
          <w:tcPr>
            <w:tcW w:w="595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1</w:t>
            </w:r>
          </w:p>
        </w:tc>
        <w:tc>
          <w:tcPr>
            <w:tcW w:w="993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2</w:t>
            </w:r>
          </w:p>
        </w:tc>
        <w:tc>
          <w:tcPr>
            <w:tcW w:w="1020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3</w:t>
            </w:r>
          </w:p>
        </w:tc>
        <w:tc>
          <w:tcPr>
            <w:tcW w:w="170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4</w:t>
            </w:r>
          </w:p>
        </w:tc>
        <w:tc>
          <w:tcPr>
            <w:tcW w:w="1758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5</w:t>
            </w:r>
          </w:p>
        </w:tc>
        <w:tc>
          <w:tcPr>
            <w:tcW w:w="3686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6</w:t>
            </w:r>
          </w:p>
        </w:tc>
        <w:tc>
          <w:tcPr>
            <w:tcW w:w="1985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7</w:t>
            </w:r>
          </w:p>
        </w:tc>
        <w:tc>
          <w:tcPr>
            <w:tcW w:w="1304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8</w:t>
            </w:r>
          </w:p>
        </w:tc>
        <w:tc>
          <w:tcPr>
            <w:tcW w:w="136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9</w:t>
            </w:r>
          </w:p>
        </w:tc>
        <w:tc>
          <w:tcPr>
            <w:tcW w:w="136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10</w:t>
            </w:r>
          </w:p>
        </w:tc>
      </w:tr>
      <w:tr w:rsidR="0059379A" w:rsidRPr="0059379A" w:rsidTr="00525008">
        <w:tc>
          <w:tcPr>
            <w:tcW w:w="595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993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1020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1758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686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985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04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6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361" w:type="dxa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</w:tr>
    </w:tbl>
    <w:p w:rsidR="0059379A" w:rsidRPr="0059379A" w:rsidRDefault="0059379A" w:rsidP="0059379A">
      <w:pPr>
        <w:keepNext/>
        <w:keepLines/>
        <w:autoSpaceDE w:val="0"/>
        <w:autoSpaceDN w:val="0"/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  <w:r w:rsidRPr="0059379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59379A">
              <w:rPr>
                <w:sz w:val="24"/>
                <w:szCs w:val="24"/>
              </w:rPr>
              <w:t>г</w:t>
            </w:r>
            <w:proofErr w:type="gramEnd"/>
            <w:r w:rsidRPr="0059379A">
              <w:rPr>
                <w:sz w:val="24"/>
                <w:szCs w:val="24"/>
              </w:rPr>
              <w:t>.</w:t>
            </w:r>
          </w:p>
        </w:tc>
      </w:tr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</w:tr>
    </w:tbl>
    <w:p w:rsidR="0059379A" w:rsidRPr="0059379A" w:rsidRDefault="0059379A" w:rsidP="0059379A">
      <w:pPr>
        <w:keepNext/>
        <w:keepLines/>
        <w:autoSpaceDE w:val="0"/>
        <w:autoSpaceDN w:val="0"/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59379A">
              <w:rPr>
                <w:b/>
                <w:bCs/>
              </w:rPr>
              <w:t>М.П.</w:t>
            </w:r>
          </w:p>
        </w:tc>
      </w:tr>
      <w:tr w:rsidR="0059379A" w:rsidRPr="0059379A" w:rsidTr="0052500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  <w:jc w:val="center"/>
            </w:pPr>
            <w:r w:rsidRPr="0059379A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379A" w:rsidRPr="0059379A" w:rsidRDefault="0059379A" w:rsidP="0059379A">
            <w:pPr>
              <w:keepNext/>
              <w:keepLines/>
              <w:autoSpaceDE w:val="0"/>
              <w:autoSpaceDN w:val="0"/>
              <w:contextualSpacing/>
            </w:pPr>
          </w:p>
        </w:tc>
      </w:tr>
    </w:tbl>
    <w:p w:rsidR="0059379A" w:rsidRPr="0059379A" w:rsidRDefault="0059379A" w:rsidP="0059379A">
      <w:pPr>
        <w:keepNext/>
        <w:keepLines/>
        <w:contextualSpacing/>
        <w:jc w:val="both"/>
        <w:rPr>
          <w:iCs/>
          <w:color w:val="000000"/>
        </w:rPr>
      </w:pPr>
      <w:r w:rsidRPr="0059379A">
        <w:rPr>
          <w:iCs/>
          <w:color w:val="000000"/>
        </w:rPr>
        <w:t>--------------------------------</w:t>
      </w:r>
    </w:p>
    <w:p w:rsidR="0059379A" w:rsidRPr="0059379A" w:rsidRDefault="0059379A" w:rsidP="0059379A">
      <w:pPr>
        <w:keepNext/>
        <w:keepLines/>
        <w:contextualSpacing/>
        <w:jc w:val="both"/>
        <w:rPr>
          <w:iCs/>
          <w:color w:val="000000"/>
        </w:rPr>
      </w:pPr>
      <w:r w:rsidRPr="0059379A">
        <w:rPr>
          <w:iCs/>
          <w:color w:val="000000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59379A" w:rsidRPr="0059379A" w:rsidRDefault="0059379A" w:rsidP="0059379A">
      <w:pPr>
        <w:keepNext/>
        <w:keepLines/>
        <w:contextualSpacing/>
        <w:jc w:val="both"/>
        <w:rPr>
          <w:iCs/>
          <w:color w:val="000000"/>
        </w:rPr>
      </w:pPr>
      <w:r w:rsidRPr="0059379A">
        <w:rPr>
          <w:iCs/>
          <w:color w:val="000000"/>
        </w:rPr>
        <w:t>&lt;2</w:t>
      </w:r>
      <w:proofErr w:type="gramStart"/>
      <w:r w:rsidRPr="0059379A">
        <w:rPr>
          <w:iCs/>
          <w:color w:val="000000"/>
        </w:rPr>
        <w:t>&gt; Ф</w:t>
      </w:r>
      <w:proofErr w:type="gramEnd"/>
      <w:r w:rsidRPr="0059379A">
        <w:rPr>
          <w:iCs/>
          <w:color w:val="000000"/>
        </w:rPr>
        <w:t xml:space="preserve">ормируется в соответствии со </w:t>
      </w:r>
      <w:hyperlink r:id="rId24" w:history="1">
        <w:r w:rsidRPr="0059379A">
          <w:rPr>
            <w:iCs/>
            <w:color w:val="0000FF"/>
            <w:u w:val="single"/>
          </w:rPr>
          <w:t>статьей 23</w:t>
        </w:r>
      </w:hyperlink>
      <w:r w:rsidRPr="0059379A">
        <w:rPr>
          <w:iCs/>
        </w:rPr>
        <w:t xml:space="preserve"> </w:t>
      </w:r>
      <w:r w:rsidRPr="0059379A">
        <w:rPr>
          <w:iCs/>
          <w:color w:val="000000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9379A" w:rsidRPr="0059379A" w:rsidRDefault="0059379A" w:rsidP="0059379A">
      <w:pPr>
        <w:spacing w:line="276" w:lineRule="auto"/>
        <w:jc w:val="both"/>
        <w:rPr>
          <w:sz w:val="26"/>
          <w:szCs w:val="26"/>
        </w:rPr>
      </w:pPr>
    </w:p>
    <w:p w:rsidR="00C1482A" w:rsidRPr="000E284E" w:rsidRDefault="00C1482A" w:rsidP="003B0660">
      <w:pPr>
        <w:rPr>
          <w:sz w:val="24"/>
          <w:szCs w:val="24"/>
        </w:rPr>
      </w:pPr>
    </w:p>
    <w:sectPr w:rsidR="00C1482A" w:rsidRPr="000E284E" w:rsidSect="00E720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6" w:rsidRDefault="00186596" w:rsidP="00E7201E">
      <w:r>
        <w:separator/>
      </w:r>
    </w:p>
  </w:endnote>
  <w:endnote w:type="continuationSeparator" w:id="0">
    <w:p w:rsidR="00186596" w:rsidRDefault="00186596" w:rsidP="00E7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A54D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D6F" w:rsidRDefault="00186596">
    <w:pPr>
      <w:pStyle w:val="a5"/>
      <w:ind w:right="360"/>
    </w:pPr>
  </w:p>
  <w:p w:rsidR="00200D6F" w:rsidRDefault="00186596"/>
  <w:p w:rsidR="00200D6F" w:rsidRDefault="00186596"/>
  <w:p w:rsidR="00200D6F" w:rsidRDefault="001865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186596">
    <w:pPr>
      <w:pStyle w:val="a5"/>
      <w:ind w:right="360"/>
      <w:rPr>
        <w:color w:val="999999"/>
        <w:sz w:val="16"/>
        <w:szCs w:val="16"/>
      </w:rPr>
    </w:pPr>
  </w:p>
  <w:p w:rsidR="00200D6F" w:rsidRDefault="00186596">
    <w:pPr>
      <w:pStyle w:val="a5"/>
      <w:rPr>
        <w:color w:val="9999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A54D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00D6F" w:rsidRDefault="00186596" w:rsidP="009C430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186596">
    <w:pPr>
      <w:pStyle w:val="a5"/>
      <w:ind w:right="360"/>
      <w:rPr>
        <w:color w:val="999999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Pr="007C5F6E" w:rsidRDefault="00A54D51">
    <w:pPr>
      <w:pStyle w:val="a5"/>
      <w:rPr>
        <w:color w:val="BFBFBF"/>
      </w:rPr>
    </w:pPr>
    <w:r w:rsidRPr="007C5F6E">
      <w:rPr>
        <w:color w:val="BFBFBF"/>
      </w:rPr>
      <w:fldChar w:fldCharType="begin"/>
    </w:r>
    <w:r w:rsidRPr="007C5F6E">
      <w:rPr>
        <w:color w:val="BFBFBF"/>
      </w:rPr>
      <w:instrText xml:space="preserve"> AUTOTEXTLIST   \* MERGEFORMAT </w:instrText>
    </w:r>
    <w:r w:rsidR="00684862">
      <w:rPr>
        <w:color w:val="BFBFBF"/>
      </w:rPr>
      <w:fldChar w:fldCharType="separate"/>
    </w:r>
    <w:r w:rsidRPr="007C5F6E">
      <w:rPr>
        <w:color w:val="BFBFBF"/>
      </w:rPr>
      <w:fldChar w:fldCharType="end"/>
    </w:r>
    <w:r w:rsidRPr="007C5F6E">
      <w:rPr>
        <w:color w:val="BFBF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6" w:rsidRDefault="00186596" w:rsidP="00E7201E">
      <w:r>
        <w:separator/>
      </w:r>
    </w:p>
  </w:footnote>
  <w:footnote w:type="continuationSeparator" w:id="0">
    <w:p w:rsidR="00186596" w:rsidRDefault="00186596" w:rsidP="00E7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A54D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00D6F" w:rsidRDefault="00186596">
    <w:pPr>
      <w:pStyle w:val="a3"/>
      <w:ind w:right="360" w:firstLine="360"/>
    </w:pPr>
  </w:p>
  <w:p w:rsidR="00200D6F" w:rsidRDefault="00186596"/>
  <w:p w:rsidR="00200D6F" w:rsidRDefault="00186596"/>
  <w:p w:rsidR="00200D6F" w:rsidRDefault="00186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186596">
    <w:pPr>
      <w:pStyle w:val="a3"/>
      <w:framePr w:wrap="around" w:vAnchor="text" w:hAnchor="margin" w:y="1"/>
      <w:rPr>
        <w:rStyle w:val="a7"/>
      </w:rPr>
    </w:pPr>
  </w:p>
  <w:p w:rsidR="00200D6F" w:rsidRDefault="00186596">
    <w:pPr>
      <w:pStyle w:val="a3"/>
      <w:ind w:right="360"/>
    </w:pPr>
  </w:p>
  <w:p w:rsidR="00200D6F" w:rsidRDefault="00186596"/>
  <w:p w:rsidR="00200D6F" w:rsidRDefault="00186596"/>
  <w:p w:rsidR="00200D6F" w:rsidRDefault="001865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Default="00A54D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00D6F" w:rsidRDefault="00186596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F" w:rsidRPr="00D21680" w:rsidRDefault="00186596" w:rsidP="00D21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8"/>
    <w:rsid w:val="000E284E"/>
    <w:rsid w:val="00186596"/>
    <w:rsid w:val="002F1D2A"/>
    <w:rsid w:val="003463DE"/>
    <w:rsid w:val="003B0660"/>
    <w:rsid w:val="00410538"/>
    <w:rsid w:val="0059379A"/>
    <w:rsid w:val="005D1D53"/>
    <w:rsid w:val="00677F0F"/>
    <w:rsid w:val="00684862"/>
    <w:rsid w:val="0069389B"/>
    <w:rsid w:val="008D3E32"/>
    <w:rsid w:val="008F2B8F"/>
    <w:rsid w:val="009164A2"/>
    <w:rsid w:val="009B6ACE"/>
    <w:rsid w:val="009F01AD"/>
    <w:rsid w:val="00A54D51"/>
    <w:rsid w:val="00A679A7"/>
    <w:rsid w:val="00AA20DA"/>
    <w:rsid w:val="00AA4418"/>
    <w:rsid w:val="00AD63B3"/>
    <w:rsid w:val="00B7493D"/>
    <w:rsid w:val="00BA1CA1"/>
    <w:rsid w:val="00BF3FE8"/>
    <w:rsid w:val="00C07C8C"/>
    <w:rsid w:val="00C1482A"/>
    <w:rsid w:val="00C86EEF"/>
    <w:rsid w:val="00CB34C8"/>
    <w:rsid w:val="00D47495"/>
    <w:rsid w:val="00D52FE9"/>
    <w:rsid w:val="00D70558"/>
    <w:rsid w:val="00DC787C"/>
    <w:rsid w:val="00E7201E"/>
    <w:rsid w:val="00ED332E"/>
    <w:rsid w:val="00F52A6F"/>
    <w:rsid w:val="00F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3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9379A"/>
  </w:style>
  <w:style w:type="paragraph" w:styleId="a8">
    <w:name w:val="Balloon Text"/>
    <w:basedOn w:val="a"/>
    <w:link w:val="a9"/>
    <w:uiPriority w:val="99"/>
    <w:semiHidden/>
    <w:unhideWhenUsed/>
    <w:rsid w:val="00684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3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9379A"/>
  </w:style>
  <w:style w:type="paragraph" w:styleId="a8">
    <w:name w:val="Balloon Text"/>
    <w:basedOn w:val="a"/>
    <w:link w:val="a9"/>
    <w:uiPriority w:val="99"/>
    <w:semiHidden/>
    <w:unhideWhenUsed/>
    <w:rsid w:val="00684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F758F275E429037571B6A02180F57F81568AFBCEB12855F8BE381C46EFA9CAE09004830C5A114B1iBh7I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758F275E429037571B6A02180F57F81568AFBCEB12855F8BE381C46EFA9CAE09004830C5A114B7iBh5I" TargetMode="External"/><Relationship Id="rId17" Type="http://schemas.openxmlformats.org/officeDocument/2006/relationships/hyperlink" Target="consultantplus://offline/ref=3F758F275E429037571B6A02180F57F81660AFB9E312855F8BE381C46EFA9CAE09004830C5A013BCiBh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758F275E429037571B6A02180F57F81660AFB9E312855F8BE381C46EFA9CAE09004830C5A016BCiBh6I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1561C2BF33EA54232875E163BA57CEAE2668B66A51FC56ABA3491B28333AFE868C8697177B43CC69F77E925BC741ECD70872C715F1F7990R5H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758F275E429037571B6A02180F57F81660AFB9E312855F8BE381C46EFA9CAE09004830C5A01DB1iBhDI" TargetMode="External"/><Relationship Id="rId23" Type="http://schemas.openxmlformats.org/officeDocument/2006/relationships/hyperlink" Target="consultantplus://offline/ref=5BB96E487019176261B8C39C8215A269B2E8A176902A4B8CC28D30C26D32D09B0543C90611CAA54D4D530DDEA59E8BA876F59687B115ABCAeFsBH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F758F275E429037571B6A02180F57F81660AFB9E312855F8BE381C46EFA9CAE09004830C5A01DB1iBh2I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2019-04-15T10:26:00Z</cp:lastPrinted>
  <dcterms:created xsi:type="dcterms:W3CDTF">2018-08-31T04:52:00Z</dcterms:created>
  <dcterms:modified xsi:type="dcterms:W3CDTF">2019-04-15T10:27:00Z</dcterms:modified>
</cp:coreProperties>
</file>