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Федеральный закон от 23 ноября 2009 г. №261-ФЗ</w:t>
      </w:r>
      <w:r>
        <w:rPr>
          <w:rFonts w:ascii="Arial" w:hAnsi="Arial" w:cs="Arial"/>
          <w:b/>
          <w:bCs/>
          <w:color w:val="000000"/>
          <w:sz w:val="17"/>
          <w:szCs w:val="17"/>
        </w:rPr>
        <w:br/>
      </w:r>
      <w:r>
        <w:rPr>
          <w:rStyle w:val="a4"/>
          <w:rFonts w:ascii="Arial" w:hAnsi="Arial" w:cs="Arial"/>
          <w:color w:val="000000"/>
          <w:sz w:val="17"/>
          <w:szCs w:val="17"/>
        </w:rPr>
        <w:t>«Об энергосбережении и повышении энергетической эффективности</w:t>
      </w:r>
      <w:r>
        <w:rPr>
          <w:rFonts w:ascii="Arial" w:hAnsi="Arial" w:cs="Arial"/>
          <w:b/>
          <w:bCs/>
          <w:color w:val="000000"/>
          <w:sz w:val="17"/>
          <w:szCs w:val="17"/>
        </w:rPr>
        <w:br/>
      </w:r>
      <w:r>
        <w:rPr>
          <w:rStyle w:val="a4"/>
          <w:rFonts w:ascii="Arial" w:hAnsi="Arial" w:cs="Arial"/>
          <w:color w:val="000000"/>
          <w:sz w:val="17"/>
          <w:szCs w:val="17"/>
        </w:rPr>
        <w:t>и о внесении изменений в отдельные законодательные акты</w:t>
      </w:r>
      <w:r>
        <w:rPr>
          <w:rFonts w:ascii="Arial" w:hAnsi="Arial" w:cs="Arial"/>
          <w:b/>
          <w:bCs/>
          <w:color w:val="000000"/>
          <w:sz w:val="17"/>
          <w:szCs w:val="17"/>
        </w:rPr>
        <w:br/>
      </w:r>
      <w:r>
        <w:rPr>
          <w:rStyle w:val="a4"/>
          <w:rFonts w:ascii="Arial" w:hAnsi="Arial" w:cs="Arial"/>
          <w:color w:val="000000"/>
          <w:sz w:val="17"/>
          <w:szCs w:val="17"/>
        </w:rPr>
        <w:t>Российской Федерации»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Принят Государственной Думой 11 ноября 2009 г.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Одобрен Советом Федерации 18 ноября 2009 г.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Подписан Президентом Российской Федерации Д.А. Медведевым 23 ноября 2009 г.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Опубликован в «Российской газете» 27 ноября 2009 г.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Вступает в силу со дня опубликования.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Основные положения: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1. Запрет на оборот энергорасточительных товаров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Возможность введения запретов или ограничения производства и оборота товаров, имеющих низкую энергетическую эффективность, при наличии достаточного предложения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энергоэффективных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товаров-заменителей. 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2. Ограничения на оборот ламп накаливания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Вводится запрет на производство, импорт, продажу с 1 января 2011 года ламп накаливания мощностью 100 Вт и более.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Вводится запрет закупок для государственных и муниципальных нужд ламп накаливания всех типов для целей освещения с 1 января 2011 года.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Указывается ориентировочный срок возможного запрета на производство, импортирование, продажу - с 2013 года ламп накаливания мощностью 75 Вт и более, а с 2014 года - мощностью 25 Вт и более.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Правительство РФ до 1 марта 2010 г. должно установить требования к осветительным устройствам и электрическим лампам, принять правила утилизации использованных ламп, отходы которых могут нанести вред окружающей среде или здоровью, а также разработать государственную программу утилизации таких ламп, которая должна заработать уже с 1 января 2011 г.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 xml:space="preserve">3. Маркировка товаров по </w:t>
      </w:r>
      <w:proofErr w:type="spellStart"/>
      <w:r>
        <w:rPr>
          <w:rStyle w:val="a4"/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Вводится требование для производителей и импортеров маркировать продукцию по классам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>: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с 2011 г. - все бытовые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энергопотребляющие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устройства;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 2012 г. – компьютерную и оргтехнику;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 2013 года и далее – иные товары по решению Правительства Российской Федерации.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4. Требования по переходу на расчеты за энергоресурсы по приборам учета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До 1 января 2011 г. все юридические лица, госучреждения должны быть оснащены приборами учета энергетических ресурсов и не позднее, чем через месяц после их установки рассчитываться за потребленный ресурс на основании данных приборов учета.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 xml:space="preserve">До 1 января 2012 г. все собственники жилых домов и квартир в многоквартирных домах должны иметь приборы учета как для дома в целом, так и для каждой квартиры (кроме тепловой энергии) с правом обратиться в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ресурсоснабжающую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за установкой приборов учета на условиях рассрочки платежа на 5 лет.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Для всех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ресурсоснабжающих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организаций вводится требование об организации с 1 июля 2010 г. деятельности по установке и эксплуатации приборов учета поставляемого ими ресурса для обслуживаемых ими потребителей.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Если потребитель в срок не установил прибор учета,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ресурсоснабжающая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организация в течение года обязана установить такой прибор учета, а потребитель оплатить связанные с этим расходы равными долями в течение 5 лет.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 xml:space="preserve">5. Требования по </w:t>
      </w:r>
      <w:proofErr w:type="spellStart"/>
      <w:r>
        <w:rPr>
          <w:rStyle w:val="a4"/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Style w:val="a4"/>
          <w:rFonts w:ascii="Arial" w:hAnsi="Arial" w:cs="Arial"/>
          <w:color w:val="000000"/>
          <w:sz w:val="17"/>
          <w:szCs w:val="17"/>
        </w:rPr>
        <w:t xml:space="preserve"> к новым зданиям, строениям, сооружениям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Все здания, строения, сооружения (кроме индивидуального строительства, культовых зданий и малых зданий), вводимые в эксплуатацию после нового строительства, должны соответствовать требованиям по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как в момент ввода в эксплуатацию, так и в процессе эксплуатации здания и быть оснащены приборами учета энергоресурсов.</w:t>
      </w:r>
      <w:proofErr w:type="gramEnd"/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Требования по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утверждаются федеральным органом исполнительной власти (Минрегионразвития России) в соответствии с Правилами, утверждаемыми Правительством Российской Федерации. В целях обеспечения скорейшего перехода к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энергоэффективным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технологиям Правительство Российской Федерации вправе установить первоочередные требования по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в самих Правилах.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В отношении новых многоквартирных домов вводится также требование определения класса его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и размещения информации о классе на фасаде многоквартирного дома.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6. Требования к содержанию общего имущества многоквартирных домов, рекомендации к садоводческим, огородническим и дачным объединениям граждан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В Правила содержания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общедомового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имущества собственниками квартир в многоквартирном доме добавляются обязательные мероприятия по энергосбережению 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Такие мероприятия утверждаются органами исполнительной власти субъектов Российской Федерации на основании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принципов, установленных Правительством Российской Федерации и могут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включать, например: наличие двойной входной двери в подъезде, имеющей доводчик, наличие устройств, регулирующих освещение в подъезде, наличие уплотнителей на окнах, входных дверях.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Для общего имущества садоводческих, огороднических и дачных объединений граждан федеральный орган исполнительной власти – Минрегионразвития России устанавливает перечень рекомендуемых мероприятий, который может быть дополнен органами исполнительной власти субъектов Российской Федерации.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 xml:space="preserve">7. Обязательные </w:t>
      </w:r>
      <w:proofErr w:type="spellStart"/>
      <w:r>
        <w:rPr>
          <w:rStyle w:val="a4"/>
          <w:rFonts w:ascii="Arial" w:hAnsi="Arial" w:cs="Arial"/>
          <w:color w:val="000000"/>
          <w:sz w:val="17"/>
          <w:szCs w:val="17"/>
        </w:rPr>
        <w:t>энергообследования</w:t>
      </w:r>
      <w:proofErr w:type="spellEnd"/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Органы государственной власти и местного самоуправления, регулируемые организации, организации с не менее, чем контрольным участием государства или муниципального образования, предприятия ТЭК, организации, ежегодные затраты которых на потребление энергоресурсов составляют более десяти миллионов руб., обязаны до 2012 и далее не менее 1 раза в 5 лет проводить энергетические обследования.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Энергообследования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проводятся специализированными организациями – членами СРО по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энергообследованиям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Цели – сбор и обработка данных об использовании энергоресурсов, расчет потенциальной экономии и составление необходимых мероприятий по энергосбережению 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По результатам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энергообследования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специализированная организация предоставляет заказчику паспорт, а копию направляет в уполномоченный федеральный орган исполнительной власти (Минэнерго России), который устанавливает требования к паспорту. Информацию не указанную в паспорте, исполнитель передает заказчику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энергообследования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в форме отчета.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lastRenderedPageBreak/>
        <w:t xml:space="preserve">8. Бюджетные учреждения и закупки для государственных и муниципальных нужд (далее – </w:t>
      </w:r>
      <w:proofErr w:type="spellStart"/>
      <w:r>
        <w:rPr>
          <w:rStyle w:val="a4"/>
          <w:rFonts w:ascii="Arial" w:hAnsi="Arial" w:cs="Arial"/>
          <w:color w:val="000000"/>
          <w:sz w:val="17"/>
          <w:szCs w:val="17"/>
        </w:rPr>
        <w:t>госзакупки</w:t>
      </w:r>
      <w:proofErr w:type="spellEnd"/>
      <w:r>
        <w:rPr>
          <w:rStyle w:val="a4"/>
          <w:rFonts w:ascii="Arial" w:hAnsi="Arial" w:cs="Arial"/>
          <w:color w:val="000000"/>
          <w:sz w:val="17"/>
          <w:szCs w:val="17"/>
        </w:rPr>
        <w:t>)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Вводится требование для всех бюджетных учреждений с 2010 года ежегодно в течение 5 лет сокращать на 3% по отношению к уровню 2009 г. потребляемые ими энергетические ресурсы.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 1 января 2011 года запрещено для государственных и муниципальных нужд закупать лампы накаливания любой мощности, используемые в целях освещения.</w:t>
      </w:r>
      <w:r>
        <w:rPr>
          <w:rFonts w:ascii="Arial" w:hAnsi="Arial" w:cs="Arial"/>
          <w:color w:val="000000"/>
          <w:sz w:val="17"/>
          <w:szCs w:val="17"/>
        </w:rPr>
        <w:br/>
        <w:t> </w:t>
      </w:r>
      <w:r>
        <w:rPr>
          <w:rFonts w:ascii="Arial" w:hAnsi="Arial" w:cs="Arial"/>
          <w:color w:val="000000"/>
          <w:sz w:val="17"/>
          <w:szCs w:val="17"/>
        </w:rPr>
        <w:br/>
        <w:t xml:space="preserve">Федеральный орган исполнительной власти утверждает список товаров, работ, услуг, при проведении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госзакупок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которых должны учитываться характеристики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В части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госзакупок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Правительство РФ должно утвердить минимальные требования по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к закупаемым товарам, работам, услугам (например, покупка бытовой и оргтехники классом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не ниже первого), а также требования к условиям заключаемых государственными и муниципальными заказчиками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энергосервисных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контрактов.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 xml:space="preserve">9. Программы по энергосбережению и повышению </w:t>
      </w:r>
      <w:proofErr w:type="spellStart"/>
      <w:r>
        <w:rPr>
          <w:rStyle w:val="a4"/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Программы по энергосбережению и повышению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составляются всеми государственными компаниями, бюджетными учреждениями и регулируемыми организациями, а также регионами и муниципалитетами.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Законом установлены минимальные требования к программам регионов и муниципалитетов.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В программах указываются целевые показатели повышения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и меры по их достижению.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 xml:space="preserve">10. </w:t>
      </w:r>
      <w:proofErr w:type="spellStart"/>
      <w:r>
        <w:rPr>
          <w:rStyle w:val="a4"/>
          <w:rFonts w:ascii="Arial" w:hAnsi="Arial" w:cs="Arial"/>
          <w:color w:val="000000"/>
          <w:sz w:val="17"/>
          <w:szCs w:val="17"/>
        </w:rPr>
        <w:t>Энергосервисные</w:t>
      </w:r>
      <w:proofErr w:type="spellEnd"/>
      <w:r>
        <w:rPr>
          <w:rStyle w:val="a4"/>
          <w:rFonts w:ascii="Arial" w:hAnsi="Arial" w:cs="Arial"/>
          <w:color w:val="000000"/>
          <w:sz w:val="17"/>
          <w:szCs w:val="17"/>
        </w:rPr>
        <w:t xml:space="preserve"> договора (контракты)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Закон описывает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энергосервисные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договора (контракты), позволяющие физическим и юридическим лицам достичь экономии энергоресурсов без вложения собственных средств, за счет средств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энергосервисной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компании. Оплата по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энергосервисному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контракту - часть стоимости сэкономленных ресурсов.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Допускается применение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энергосервисных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договоров (контрактов), совмещенных с договорами поставки энергоресурсов (для всех, кроме государственных и муниципальных заказчиков).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Закон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устанавливает обязательные условия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энергосервисных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контрактов, Правительство Российской Федерации устанавливает требования к условиям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энергосервисных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контрактов для государственных и муниципальных нужд, уполномоченный федеральный орган исполнительной власти утверждает примерные условия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энергосервисных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контрактов, совмещенных с договорами поставки энергетических ресурсов.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Закон вводит обязательства для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ресурсоснабжающих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организаций и управляющих организаций предлагать населению меры по энергосбережению 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в том числе путем реализации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энергосервисных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договоров (контрактов).</w:t>
      </w:r>
      <w:r>
        <w:rPr>
          <w:rFonts w:ascii="Arial" w:hAnsi="Arial" w:cs="Arial"/>
          <w:color w:val="000000"/>
          <w:sz w:val="17"/>
          <w:szCs w:val="17"/>
        </w:rPr>
        <w:br/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a4"/>
          <w:rFonts w:ascii="Arial" w:hAnsi="Arial" w:cs="Arial"/>
          <w:color w:val="000000"/>
          <w:sz w:val="17"/>
          <w:szCs w:val="17"/>
        </w:rPr>
        <w:t>11. Переход к долгосрочному тарифному регулированию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Одним из основных стимулов к повышению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естественных монополий, организаций коммунального комплекса является применение долгосрочных (на срок от 3х лет и далее) методов тарифного регулирования, включая в первую очередь метод доходности инвестированного капитала с одновременным закреплением обязательств компаний по качеству и развитию предоставляемых услуг.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При таком регулировании у компаний возникают стимулы сокращать затраты, в том числе на энергоресурсы, повышать эффективность использования ресурсов, так как полученная в результате экономия сохраняется у компании и может быть использована на любые цели.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 xml:space="preserve">Законом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вводится возможность перехода на долгосрочное тарифное регулирование всех предприятий коммунального комплекса и предусматривается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обязательный переход на долгосрочное регулирование в следующие сроки.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электроэнергетике:  для ФСК – с 1 января 2010 г., сетевых компаний холдинга МРСК – в течение 2010 г, но не позднее 1 января 2011 года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.; 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для иных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электросетевых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компаний, а также в теплоснабжении - с 1 января 2012 года.</w:t>
      </w:r>
      <w:r>
        <w:rPr>
          <w:rFonts w:ascii="Arial" w:hAnsi="Arial" w:cs="Arial"/>
          <w:color w:val="000000"/>
          <w:sz w:val="17"/>
          <w:szCs w:val="17"/>
        </w:rPr>
        <w:br/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a4"/>
          <w:rFonts w:ascii="Arial" w:hAnsi="Arial" w:cs="Arial"/>
          <w:color w:val="000000"/>
          <w:sz w:val="17"/>
          <w:szCs w:val="17"/>
        </w:rPr>
        <w:t xml:space="preserve">12. Создание единой (межведомственной) государственной информационной системы по </w:t>
      </w:r>
      <w:proofErr w:type="spellStart"/>
      <w:r>
        <w:rPr>
          <w:rStyle w:val="a4"/>
          <w:rFonts w:ascii="Arial" w:hAnsi="Arial" w:cs="Arial"/>
          <w:color w:val="000000"/>
          <w:sz w:val="17"/>
          <w:szCs w:val="17"/>
        </w:rPr>
        <w:t>энергоэффективности</w:t>
      </w:r>
      <w:proofErr w:type="spellEnd"/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В целях методологической и информационно поддержки всего процесса повышения энергетической эффективности и энергосбережения создается Государственная информационная система.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 ее задачам относится: систематизация сбора и обмена информацией о потреблении энергоресурсов с федерального, регионального и муниципального уровней, получение аналитических данных о потреблении энергоресурсов и потенциале энергосбережения, и информирование субъектов, населения о возможностях энергосбережения и лучших доступных практиках энергосбережения и повышения энергетической эффективности.</w:t>
      </w:r>
      <w:proofErr w:type="gramEnd"/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13. Формы государственной поддержки энергосбережения и повышения энергетической эффективности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Закон предусматриваются такие формы господдержки, как налоговые льготы в виде возможности применения повышающих коэффициентов к норме амортизации, инвестиционного налогового кредита, а также возмещения процентов по кредитам на реализацию проектов в области энергосбережения и повышения энергетической эффективности.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14. Связь положений закона с техническим регулированием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Закон устанавливает ряд требований, содержание которых относится к техническому регулированию (требования к зданиям, к обороту продукции, маркировка, утилизация). Для обеспечения связи с законодательством о техническом регулировании предусматривается схема, когда нормы закона,  принятые в его исполнение подзаконные акты, а равно ранее принятые и не противоречащие закону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ГОСТы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СНИПы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действуют до момента принятия соответствующих технических регламентов.</w:t>
      </w:r>
      <w:r>
        <w:rPr>
          <w:rFonts w:ascii="Arial" w:hAnsi="Arial" w:cs="Arial"/>
          <w:color w:val="000000"/>
          <w:sz w:val="17"/>
          <w:szCs w:val="17"/>
        </w:rPr>
        <w:br/>
        <w:t> </w:t>
      </w:r>
      <w:r>
        <w:rPr>
          <w:rFonts w:ascii="Arial" w:hAnsi="Arial" w:cs="Arial"/>
          <w:color w:val="000000"/>
          <w:sz w:val="17"/>
          <w:szCs w:val="17"/>
        </w:rPr>
        <w:br/>
        <w:t>При этом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,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если вступивший в силу технический регламент покрывает не все сферы, которые покрывал закон и подзаконные нормативные акты, то в указанных сферах действие норм закона и подзаконных актов в качестве обязательных сохраняется.</w:t>
      </w:r>
    </w:p>
    <w:p w:rsidR="00816CBB" w:rsidRDefault="00816CBB" w:rsidP="00816CBB">
      <w:pPr>
        <w:pStyle w:val="a3"/>
        <w:spacing w:line="252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Это обеспечивает оперативность принятия требований, отработку их на практике и базу для разработки технических регламентов.</w:t>
      </w:r>
    </w:p>
    <w:p w:rsidR="00F90853" w:rsidRDefault="00F90853"/>
    <w:sectPr w:rsidR="00F90853" w:rsidSect="00F9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CBB"/>
    <w:rsid w:val="001E65FF"/>
    <w:rsid w:val="002E63A8"/>
    <w:rsid w:val="005866C0"/>
    <w:rsid w:val="00816CBB"/>
    <w:rsid w:val="009065D0"/>
    <w:rsid w:val="00F9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C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1705</Words>
  <Characters>9722</Characters>
  <Application>Microsoft Office Word</Application>
  <DocSecurity>0</DocSecurity>
  <Lines>81</Lines>
  <Paragraphs>22</Paragraphs>
  <ScaleCrop>false</ScaleCrop>
  <Company/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SAO-ybeevo</cp:lastModifiedBy>
  <cp:revision>1</cp:revision>
  <dcterms:created xsi:type="dcterms:W3CDTF">2020-08-03T12:15:00Z</dcterms:created>
  <dcterms:modified xsi:type="dcterms:W3CDTF">2020-08-03T12:15:00Z</dcterms:modified>
</cp:coreProperties>
</file>