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875B7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875B7D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75B7D">
              <w:rPr>
                <w:b/>
                <w:bCs/>
                <w:sz w:val="20"/>
                <w:szCs w:val="20"/>
              </w:rPr>
              <w:t xml:space="preserve">14 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875B7D">
              <w:rPr>
                <w:b/>
                <w:bCs/>
                <w:sz w:val="20"/>
                <w:szCs w:val="20"/>
              </w:rPr>
              <w:t>октяб</w:t>
            </w:r>
            <w:r w:rsidR="00900EF4">
              <w:rPr>
                <w:b/>
                <w:bCs/>
                <w:sz w:val="20"/>
                <w:szCs w:val="20"/>
              </w:rPr>
              <w:t>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Default="00CB7D56" w:rsidP="00CB7D56"/>
    <w:p w:rsidR="00F31219" w:rsidRPr="00CB7D56" w:rsidRDefault="00F31219" w:rsidP="00CB7D56"/>
    <w:p w:rsidR="00F31219" w:rsidRPr="00F31219" w:rsidRDefault="00F31219" w:rsidP="00F31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b/>
          <w:sz w:val="24"/>
          <w:szCs w:val="24"/>
        </w:rPr>
        <w:t>Восстановление исполнительного листа</w:t>
      </w:r>
    </w:p>
    <w:p w:rsidR="00F31219" w:rsidRPr="00F31219" w:rsidRDefault="00F31219" w:rsidP="00F312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Действующим законодательством (Гражданско-процессуальный кодекс РФ) предусмотрена возможность выдачи дубликата исполнительного листа лишь по заявлению взыскателя либо судебного пристава-исполнителя. В подобной ситуации необходимо подать соответствующее заявление в тот суд, который принял решение. При этом такое заявление может быть подано до окончания срока, установленного для предъявления исполнительного листа.</w:t>
      </w:r>
      <w:bookmarkStart w:id="0" w:name="_GoBack"/>
      <w:bookmarkEnd w:id="0"/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Default="00F31219" w:rsidP="00F3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t>Закреплено право студентов заниматься педагогической деятельностью по основным и дополнительным общеобразовательным программам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Федеральным законом от 8 июня 2020 года № 165-ФЗ внесены изменения в статьи 46 и 108 Федерального закона «Об образовании в Российской Федерации».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 </w:t>
      </w:r>
      <w:proofErr w:type="gramStart"/>
      <w:r w:rsidRPr="00F31219">
        <w:rPr>
          <w:color w:val="000000"/>
        </w:rPr>
        <w:t>Установлено, что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proofErr w:type="gramEnd"/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 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lastRenderedPageBreak/>
        <w:t> </w:t>
      </w:r>
      <w:proofErr w:type="gramStart"/>
      <w:r w:rsidRPr="00F31219">
        <w:rPr>
          <w:color w:val="000000"/>
        </w:rPr>
        <w:t>Кроме того, определено, что требование части 1 статьи 46 Федерального закона от 29 декабря 2012 года № 273-ФЗ «Об образовании в Российской Федерации» о наличии среднего профессионального или высшего образования не распространяется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должности.</w:t>
      </w:r>
      <w:proofErr w:type="gramEnd"/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t>Изменения в жилищном законодательстве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В соответствии с пунктом 12 статьи 12 Жилищного кодекса Российской Федерации постановлением Правительства Российской Федерации</w:t>
      </w:r>
      <w:r w:rsidRPr="00F31219">
        <w:rPr>
          <w:color w:val="000000"/>
        </w:rPr>
        <w:br/>
        <w:t>от 28.01.2006 № 47 утверждено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31219">
        <w:rPr>
          <w:color w:val="000000"/>
        </w:rPr>
        <w:br/>
        <w:t>(далее – Положение № 47).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31219">
        <w:rPr>
          <w:color w:val="000000"/>
        </w:rPr>
        <w:t>27.07.2020 постановлением Правительства Российской Федерации в Положение №47 внесены изменения, которыми предусмотрено, что комиссия правомочна принимать решение о признании помещения жилым или непригодным для проживания и т.д.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</w:t>
      </w:r>
      <w:proofErr w:type="gramEnd"/>
      <w:r w:rsidRPr="00F31219">
        <w:rPr>
          <w:color w:val="000000"/>
        </w:rPr>
        <w:t xml:space="preserve"> в состав комиссии.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Обследование жилых помещений, получивших повреждения в результате чрезвычайной ситуации, проводится в течение 10 календарных дней со дня получения заключения.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Кроме того, в настоящее время в Положении № 47 закреплено, что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Внесение указанных изменений в Положение № 47 влечет необходимость принятия органами местного самоуправления нормативных правовых актов, направленных на приведение муниципальной правовой базы (административных регламентов, соответствующих положений о межведомственных комиссиях) в соответствие с требованиями федерального законодательства.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О возврате билетов на зрелищные мероприятия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18 сентября 2020 г. опубликовано Постановление Правительства РФ №1491 "Об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</w:t>
      </w:r>
      <w:proofErr w:type="spellStart"/>
      <w:r w:rsidRPr="00F31219">
        <w:rPr>
          <w:color w:val="000000"/>
        </w:rPr>
        <w:t>экскурсионых</w:t>
      </w:r>
      <w:proofErr w:type="spellEnd"/>
      <w:r w:rsidRPr="00F31219">
        <w:rPr>
          <w:color w:val="000000"/>
        </w:rPr>
        <w:t xml:space="preserve"> путевок на проводимые организациями исполнительских искусств и музеями зрелищные мероприятия в случае отказа посетителя от их посещения".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Правительство утвердило правила возврата билетов на спектакли, концерты, выставки и экскурсии.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Если зритель не попал на мероприятие по причине собственной болезни, смерти члена семьи или близкого родственника, то он может вернуть полную стоимость билета даже при обращении в день проведения мероприятия. Не позднее этой даты необходимо подать заявление о возврате в организацию или билетному оператору. К заявлению нужно приложить билет, копию электронного чека (если билет электронный), копию паспорта и подтверждающие документы (копии больничного листа; копии свидетельства о смерти и документов, подтверждающих родство). Если у зрителя нет возможности предоставить копию больничного или свидетельства в срок, то на это отводится еще две недели. Все остальные документы должны быть направлены вовремя. Их можно подать лично, отправить почтой или через интернет.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При наличии других причин отказа зрителя от мероприятия заявление и комплект документов (билет, чек, копия паспорта) должны быть предоставлены не менее чем за 3 дня до его проведения. Процент возврата зависит от количества дней, оставшихся до мероприятия. Так, зритель может получить обратно 100% цены билета, сданного не позднее, чем за 10 дней, 50% - не </w:t>
      </w:r>
      <w:proofErr w:type="gramStart"/>
      <w:r w:rsidRPr="00F31219">
        <w:rPr>
          <w:color w:val="000000"/>
        </w:rPr>
        <w:t>позднее</w:t>
      </w:r>
      <w:proofErr w:type="gramEnd"/>
      <w:r w:rsidRPr="00F31219">
        <w:rPr>
          <w:color w:val="000000"/>
        </w:rPr>
        <w:t xml:space="preserve"> чем за 5 дней, 30% - не позднее чем за 3 дня. При этом билеты, приобретенные в рамках акций и специальных программ, могут не принимать.</w:t>
      </w:r>
      <w:r w:rsidRPr="00F31219">
        <w:rPr>
          <w:color w:val="000000"/>
        </w:rPr>
        <w:br/>
        <w:t>        Также в постановлении прописан порядок переоформления именных билетов и абонементов на другого зрителя. Это можно сделать не позднее 10 дней до начала мероприятия на основании заявления. Льготные билеты могут быть переоформлены только на граждан, имеющих право на указанную льготу.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t>О возврате страховой премии при досрочном погашении кредита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1 сентября 2020 года вступил в силу Федеральный закон от 27.12.2019  №483-ФЗ «О внесении изменений в статьи 7 и 11 Федерального закона «О потребительском кредите (займе)» и статью 9.1 Федерального закона «Об ипотеке (залоге) недвижимости».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Данный закон регламентирует вопросы возврата страховой премии при досрочном погашении кредита.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Если заемщик досрочно и полностью погасит потребительский кредит или заем, страховая компания  должна будет вернуть ему часть страховой премии. Обязанность возникнет, если одновременно будут соблюдены следующие условия: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-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- заемщик подал заявление о возврате части премии;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- не произошли события с признаками страхового случая;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lastRenderedPageBreak/>
        <w:t>Срок возврата 7 рабочих дней со дня получения заявления.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По общему правилу, если заемщик будет застрахован через банк, последний вернет деньги. Затем затраты кредитной организации  возместит страховая компания.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  <w:shd w:val="clear" w:color="auto" w:fill="FFFFFF"/>
        </w:rPr>
        <w:t>Новый закон будет применяться к договорам страхования, заключенным после 1 сентября 2020 года.  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t>Обязанность уведомлять об обращениях в целях склонения к совершению коррупционных правонарушений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В соответствии со ст. 9 Федерального закона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Невыполнение служащим данной обязанности является правонарушением, влекущим его увольнение с государственной или муниципальной службы либо привлечение его к иным видам ответственности.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proofErr w:type="gramStart"/>
      <w:r w:rsidRPr="00F31219">
        <w:rPr>
          <w:color w:val="000000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F31219">
        <w:rPr>
          <w:color w:val="000000"/>
        </w:rPr>
        <w:t xml:space="preserve"> Российской Федерации.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b/>
          <w:sz w:val="24"/>
          <w:szCs w:val="24"/>
        </w:rPr>
        <w:t>Ограничения для реализации алкоголя в многоквартирных домах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proofErr w:type="gramStart"/>
      <w:r w:rsidRPr="00F31219">
        <w:rPr>
          <w:color w:val="000000"/>
        </w:rPr>
        <w:t>Федеральным законом от 24.04.2020 № 145-ФЗ, вступившим в законную силу 05.05.2020, внесены 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которым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</w:t>
      </w:r>
      <w:proofErr w:type="gramEnd"/>
      <w:r w:rsidRPr="00F31219">
        <w:rPr>
          <w:color w:val="000000"/>
        </w:rPr>
        <w:t xml:space="preserve"> ним </w:t>
      </w:r>
      <w:proofErr w:type="gramStart"/>
      <w:r w:rsidRPr="00F31219">
        <w:rPr>
          <w:color w:val="000000"/>
        </w:rPr>
        <w:t>территориях</w:t>
      </w:r>
      <w:proofErr w:type="gramEnd"/>
      <w:r w:rsidRPr="00F31219">
        <w:rPr>
          <w:color w:val="000000"/>
        </w:rPr>
        <w:t xml:space="preserve">, допускается только в указанных объектах </w:t>
      </w:r>
      <w:r w:rsidRPr="00F31219">
        <w:rPr>
          <w:color w:val="000000"/>
        </w:rPr>
        <w:lastRenderedPageBreak/>
        <w:t>общественного питания, имеющих зал обслуживания посетителей общей площадью не менее 20 квадратных метров.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Согласно положениям закона, 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С учетом имеющихся разъяснений Министерства финансов РФ, связи с отсутствием переходных положений, устанавливающих особенности применения положений Закона № 145-ФЗ, в случае несоответствия организации, осуществляющей деятельность по розничной продаже алкогольной продукции при оказании услуг общественного питания, требованиям пункта 4.1 статьи 16 Закона № 171-ФЗ, такая организация продолжать осуществление указанной деятельности не вправе.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За нарушение данных запретов предусмотрена административная ответственность по ч. 3 ст. 14.16 </w:t>
      </w:r>
      <w:proofErr w:type="spellStart"/>
      <w:r w:rsidRPr="00F31219">
        <w:rPr>
          <w:color w:val="000000"/>
        </w:rPr>
        <w:t>КоАП</w:t>
      </w:r>
      <w:proofErr w:type="spellEnd"/>
      <w:r w:rsidRPr="00F31219">
        <w:rPr>
          <w:color w:val="000000"/>
        </w:rPr>
        <w:t xml:space="preserve"> РФ (нарушение правил продажи этилового спирта, алкогольной и спиртосодержащей продукции).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b/>
          <w:sz w:val="24"/>
          <w:szCs w:val="24"/>
        </w:rPr>
        <w:t>Ограничения на замещение должностей в сфере образования лицам, имеющим судимость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proofErr w:type="gramStart"/>
      <w:r w:rsidRPr="00F31219">
        <w:rPr>
          <w:color w:val="000000"/>
        </w:rPr>
        <w:t>Требования статей 331, 351.1 Трудового кодекса РФ устанавливают запрет на осуществление трудовой деятельности в сфере образования, воспитания, развития несовершеннолетних для лиц, имеющих или имевших судимость, подвергающихся или подвергавшихся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</w:t>
      </w:r>
      <w:proofErr w:type="gramEnd"/>
      <w:r w:rsidRPr="00F31219">
        <w:rPr>
          <w:color w:val="000000"/>
        </w:rPr>
        <w:t xml:space="preserve">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Данные нормы Трудового кодекса РФ предполагают ограждение несовершеннолетних от лиц, которые получили судимости за вышеуказанные преступления, независимо от существа выполняемых ими задач (вмененных должностных обязанностей), если она связана с непосредственным взаимодействием с несовершеннолетними. Такая правовая позиция сформулирована в Постановлении Конституционного Суда РФ от 18.07.2013 № 19-П.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lastRenderedPageBreak/>
        <w:t>Таким образом, если выполняемая работа предполагает взаимодействие с детьми, при заключении трудового договора лицо, поступающее на работу, обязано предъявить работодателю, помимо прочего, справку о наличии (отсутствии) судимости.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В настоящее время данную справку можно получить в филиалах МФЦ, в информационном центре территориального органа МВД России на региональном уровне, либо в электронной форме на едином портале государственных и муниципальных услуг.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shd w:val="clear" w:color="auto" w:fill="FFFFFF"/>
        <w:spacing w:after="375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исчисления пособий по временной нетрудоспособности и осуществления ежемесячных выплат в связи с рождением (усыновлением) первого или второго ребёнка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Особый порядок исчисления пособий по временной нетрудоспособности действует до 31 декабря 2020 года. Он был введен Федеральным законом от 01.04.2020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Согласно данному закону, в случае, если пособие по временной нетрудоспособности в расчёте за полный календарный месяц ниже минимального </w:t>
      </w:r>
      <w:proofErr w:type="gramStart"/>
      <w:r w:rsidRPr="00F31219">
        <w:rPr>
          <w:color w:val="000000"/>
        </w:rPr>
        <w:t>размера оплаты труда</w:t>
      </w:r>
      <w:proofErr w:type="gramEnd"/>
      <w:r w:rsidRPr="00F31219">
        <w:rPr>
          <w:color w:val="000000"/>
        </w:rPr>
        <w:t>, установленного федеральным законом, такое пособие должно выплачиваться застрахованному лицу в размере, исчисляемом исходя из минимального размера оплаты труда, в расчёте за полный календарный месяц.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proofErr w:type="gramStart"/>
      <w:r w:rsidRPr="00F31219">
        <w:rPr>
          <w:color w:val="000000"/>
        </w:rPr>
        <w:t>Этим же законом установлено, что в период с 1 апреля 2020 по 1 октября 2020 включительно ежемесячная выплата гражданам в связи с рождением (усыновлением) первого или второго ребёнка, гражданам с детьми, достигшими в указанный период возраста одного года или двух лет, имеющим право на указанную выплату в соответствии с требованиями федерального законодательства, назначается без подачи такими гражданами заявлений.</w:t>
      </w:r>
      <w:proofErr w:type="gramEnd"/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t>Перечень имущества граждан, на которое не может быть обращено взыскание по исполнительным документам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1219">
        <w:rPr>
          <w:color w:val="000000"/>
        </w:rPr>
        <w:t>Статьёй 446 Гражданско-процессуального кодекса Российской Федерации определен перечень имущества, на которое не может быть обращено взыскание по исполнительным документам.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1219">
        <w:rPr>
          <w:color w:val="000000"/>
        </w:rPr>
        <w:lastRenderedPageBreak/>
        <w:t>Так,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F31219" w:rsidRPr="00F31219" w:rsidRDefault="00F31219" w:rsidP="00F3121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помещением. Исключением </w:t>
      </w:r>
      <w:proofErr w:type="gramStart"/>
      <w:r w:rsidRPr="00F31219">
        <w:rPr>
          <w:rFonts w:ascii="Times New Roman" w:hAnsi="Times New Roman" w:cs="Times New Roman"/>
          <w:color w:val="000000"/>
          <w:sz w:val="24"/>
          <w:szCs w:val="24"/>
        </w:rPr>
        <w:t>является если это имущество является</w:t>
      </w:r>
      <w:proofErr w:type="gramEnd"/>
      <w:r w:rsidRPr="00F3121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ипотеки и на него в соответствии с законодательством об ипотеке может быть обращено взыскание. Также не может быть обращено взыскание по исполнительным документам на земельные участки, на которых расположены объекты, которые указаны выше. Исключение составят земельные участки в случае, если они </w:t>
      </w:r>
      <w:proofErr w:type="gramStart"/>
      <w:r w:rsidRPr="00F31219">
        <w:rPr>
          <w:rFonts w:ascii="Times New Roman" w:hAnsi="Times New Roman" w:cs="Times New Roman"/>
          <w:color w:val="000000"/>
          <w:sz w:val="24"/>
          <w:szCs w:val="24"/>
        </w:rPr>
        <w:t>являются предметом ипотеки и на него по закону может</w:t>
      </w:r>
      <w:proofErr w:type="gramEnd"/>
      <w:r w:rsidRPr="00F31219">
        <w:rPr>
          <w:rFonts w:ascii="Times New Roman" w:hAnsi="Times New Roman" w:cs="Times New Roman"/>
          <w:color w:val="000000"/>
          <w:sz w:val="24"/>
          <w:szCs w:val="24"/>
        </w:rPr>
        <w:t xml:space="preserve"> быть обращено взыскание.</w:t>
      </w:r>
    </w:p>
    <w:p w:rsidR="00F31219" w:rsidRPr="00F31219" w:rsidRDefault="00F31219" w:rsidP="00F3121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color w:val="000000"/>
          <w:sz w:val="24"/>
          <w:szCs w:val="24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F31219" w:rsidRPr="00F31219" w:rsidRDefault="00F31219" w:rsidP="00F3121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</w:t>
      </w:r>
      <w:proofErr w:type="gramStart"/>
      <w:r w:rsidRPr="00F31219">
        <w:rPr>
          <w:rFonts w:ascii="Times New Roman" w:hAnsi="Times New Roman" w:cs="Times New Roman"/>
          <w:color w:val="000000"/>
          <w:sz w:val="24"/>
          <w:szCs w:val="24"/>
        </w:rPr>
        <w:t>размеров оплаты труда</w:t>
      </w:r>
      <w:proofErr w:type="gramEnd"/>
      <w:r w:rsidRPr="00F312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1219" w:rsidRPr="00F31219" w:rsidRDefault="00F31219" w:rsidP="00F3121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219">
        <w:rPr>
          <w:rFonts w:ascii="Times New Roman" w:hAnsi="Times New Roman" w:cs="Times New Roman"/>
          <w:color w:val="000000"/>
          <w:sz w:val="24"/>
          <w:szCs w:val="24"/>
        </w:rPr>
        <w:t>На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содержания.</w:t>
      </w:r>
      <w:proofErr w:type="gramEnd"/>
    </w:p>
    <w:p w:rsidR="00F31219" w:rsidRPr="00F31219" w:rsidRDefault="00F31219" w:rsidP="00F3121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color w:val="000000"/>
          <w:sz w:val="24"/>
          <w:szCs w:val="24"/>
        </w:rPr>
        <w:t>На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иждивении, семена, необходимые для очередного посева. Кроме того, к такому имуществу относится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F31219" w:rsidRPr="00F31219" w:rsidRDefault="00F31219" w:rsidP="00F3121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color w:val="000000"/>
          <w:sz w:val="24"/>
          <w:szCs w:val="24"/>
        </w:rPr>
        <w:t>Средства транспорта и другое необходимое гражданину-должнику в связи с его инвалидностью имущество;</w:t>
      </w:r>
    </w:p>
    <w:p w:rsidR="00F31219" w:rsidRPr="00F31219" w:rsidRDefault="00F31219" w:rsidP="00F3121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color w:val="000000"/>
          <w:sz w:val="24"/>
          <w:szCs w:val="24"/>
        </w:rPr>
        <w:t>Призы, государственные награды, почетные и памятные знаки, которыми награжден гражданин-должник.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19">
        <w:rPr>
          <w:rFonts w:ascii="Times New Roman" w:hAnsi="Times New Roman" w:cs="Times New Roman"/>
          <w:b/>
          <w:sz w:val="24"/>
          <w:szCs w:val="24"/>
        </w:rPr>
        <w:t>Право на оплачиваемый день для прохождения диспансеризации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Подобная норма введена летом текущего года  Федеральным законом от 31.07.2020 № 261-ФЗ «О внесении изменений в статью 185.1 Трудового кодекса Российской Федерации». В новой редакции эта норма предусматривает, что работники, достигшие возраста сорока лет, при прохождении диспансеризации в порядке, предусмотренном законодательством,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Данное правило не распространяется на пенсионеров и </w:t>
      </w:r>
      <w:proofErr w:type="spellStart"/>
      <w:r w:rsidRPr="00F31219">
        <w:rPr>
          <w:color w:val="000000"/>
        </w:rPr>
        <w:t>предпенсионеров</w:t>
      </w:r>
      <w:proofErr w:type="spellEnd"/>
      <w:r w:rsidRPr="00F31219">
        <w:rPr>
          <w:color w:val="000000"/>
        </w:rPr>
        <w:t>, для них ТК РФ предусмотрено два оплачиваемых дня в году.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Принятым законом также установлена обязанность работников </w:t>
      </w:r>
      <w:proofErr w:type="gramStart"/>
      <w:r w:rsidRPr="00F31219">
        <w:rPr>
          <w:color w:val="000000"/>
        </w:rPr>
        <w:t>предоставлять работодателю справки</w:t>
      </w:r>
      <w:proofErr w:type="gramEnd"/>
      <w:r w:rsidRPr="00F31219">
        <w:rPr>
          <w:color w:val="000000"/>
        </w:rPr>
        <w:t xml:space="preserve"> медицинских организаций, подтверждающие прохождение ими </w:t>
      </w:r>
      <w:r w:rsidRPr="00F31219">
        <w:rPr>
          <w:color w:val="000000"/>
        </w:rPr>
        <w:lastRenderedPageBreak/>
        <w:t>диспансеризации в день (дни) освобождения от работы, если это предусмотрено локальным нормативным актом.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Реестр Банка России, содержащий сведения о </w:t>
      </w:r>
      <w:proofErr w:type="spellStart"/>
      <w:r w:rsidRPr="00F31219">
        <w:rPr>
          <w:rFonts w:ascii="Times New Roman" w:hAnsi="Times New Roman" w:cs="Times New Roman"/>
          <w:b/>
          <w:color w:val="000000"/>
          <w:sz w:val="24"/>
          <w:szCs w:val="24"/>
        </w:rPr>
        <w:t>микрофинансовых</w:t>
      </w:r>
      <w:proofErr w:type="spellEnd"/>
      <w:r w:rsidRPr="00F31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организациях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В соответствии с действующим законодательством о </w:t>
      </w:r>
      <w:proofErr w:type="spellStart"/>
      <w:r w:rsidRPr="00F31219">
        <w:rPr>
          <w:color w:val="000000"/>
        </w:rPr>
        <w:t>микрофинансовой</w:t>
      </w:r>
      <w:proofErr w:type="spellEnd"/>
      <w:r w:rsidRPr="00F31219">
        <w:rPr>
          <w:color w:val="000000"/>
        </w:rPr>
        <w:t xml:space="preserve"> деятельности организация имеет статус </w:t>
      </w:r>
      <w:proofErr w:type="spellStart"/>
      <w:r w:rsidRPr="00F31219">
        <w:rPr>
          <w:color w:val="000000"/>
        </w:rPr>
        <w:t>микрофинансовой</w:t>
      </w:r>
      <w:proofErr w:type="spellEnd"/>
      <w:r w:rsidRPr="00F31219">
        <w:rPr>
          <w:color w:val="000000"/>
        </w:rPr>
        <w:t xml:space="preserve">, если сведения о ней внесены в государственный реестр </w:t>
      </w:r>
      <w:proofErr w:type="spellStart"/>
      <w:r w:rsidRPr="00F31219">
        <w:rPr>
          <w:color w:val="000000"/>
        </w:rPr>
        <w:t>микрофинансовых</w:t>
      </w:r>
      <w:proofErr w:type="spellEnd"/>
      <w:r w:rsidRPr="00F31219">
        <w:rPr>
          <w:color w:val="000000"/>
        </w:rPr>
        <w:t xml:space="preserve"> организаций, ведение которого осуществляется Банком России. В этом случае деятельность такого кредитора регулируется законодательством, защищающим права и интересы потребителей финансовых услуг на </w:t>
      </w:r>
      <w:proofErr w:type="spellStart"/>
      <w:r w:rsidRPr="00F31219">
        <w:rPr>
          <w:color w:val="000000"/>
        </w:rPr>
        <w:t>микрофинансовом</w:t>
      </w:r>
      <w:proofErr w:type="spellEnd"/>
      <w:r w:rsidRPr="00F31219">
        <w:rPr>
          <w:color w:val="000000"/>
        </w:rPr>
        <w:t xml:space="preserve"> рынке.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Нелегальными являются кредиторы, сведения о которых не включены в государственный реестр </w:t>
      </w:r>
      <w:proofErr w:type="spellStart"/>
      <w:r w:rsidRPr="00F31219">
        <w:rPr>
          <w:color w:val="000000"/>
        </w:rPr>
        <w:t>микрофинансовых</w:t>
      </w:r>
      <w:proofErr w:type="spellEnd"/>
      <w:r w:rsidRPr="00F31219">
        <w:rPr>
          <w:color w:val="000000"/>
        </w:rPr>
        <w:t xml:space="preserve"> организаций либо </w:t>
      </w:r>
      <w:proofErr w:type="gramStart"/>
      <w:r w:rsidRPr="00F31219">
        <w:rPr>
          <w:color w:val="000000"/>
        </w:rPr>
        <w:t>сведения</w:t>
      </w:r>
      <w:proofErr w:type="gramEnd"/>
      <w:r w:rsidRPr="00F31219">
        <w:rPr>
          <w:color w:val="000000"/>
        </w:rPr>
        <w:t xml:space="preserve"> о которых исключены из указанного реестра.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Обращение к нелегальным кредиторам, выдающим себя за </w:t>
      </w:r>
      <w:proofErr w:type="spellStart"/>
      <w:r w:rsidRPr="00F31219">
        <w:rPr>
          <w:color w:val="000000"/>
        </w:rPr>
        <w:t>микрофинансовые</w:t>
      </w:r>
      <w:proofErr w:type="spellEnd"/>
      <w:r w:rsidRPr="00F31219">
        <w:rPr>
          <w:color w:val="000000"/>
        </w:rPr>
        <w:t xml:space="preserve"> организации, опасно тем, что они могут обманным путем заставить заемщика подписать договор по кредиту с высоким процентом, под залог недвижимости.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Чтобы не стать жертвой нелегальных кредиторов, заемщику следует проверить, находится ли организация, в которую он собирается обратиться, в реестре Банка России. Соответствующие сведения имеются на официальном сайте Банка России в сети «Интернет».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t>С 1 января 2021 года вступают в силу новые Правила противопожарного режима в Российской Федерации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Постановлением Правительства РФ от 16.09.2020 №1479 утверждены новые Правила противопожарного режима в Российской Федерации, которые вступают в силу с 1 января 2021 года.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31219">
        <w:rPr>
          <w:color w:val="000000"/>
        </w:rPr>
        <w:t>В отличие от прежних Правил, принятым документом прописаны запреты на использование подвальных и цокольных этажей для организации детского досуга (детских развивающих центров, развлекательных центров, залов для проведения торжественных мероприятий и праздников, спортивных мероприятий), если это не предусмотрено проектной документацией.</w:t>
      </w:r>
      <w:proofErr w:type="gramEnd"/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lastRenderedPageBreak/>
        <w:t>Правилами введены требования о запрете на объектах защиты установления глухих решеток на окнах и приямках у окон подвалов, являющихся аварийными выходами, за исключением случаев, специально предусмотренных законом.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Также не допускается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Для руководителей медицинских организаций прописано обеспечить наличие в зданиях и сооружениях, в которых находятся пациенты, не способные передвигаться самостоятельно, помимо носилок из расчета одни носилки на пять пациентов, еще и средств индивидуальной защиты органов дыхания и зрения человека от опасных факторов пожара на каждого работника дежурной смены.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 xml:space="preserve"> Раз в полугодие в зданиях, назначение которых предполагает скопление людей, должно </w:t>
      </w:r>
      <w:proofErr w:type="gramStart"/>
      <w:r w:rsidRPr="00F31219">
        <w:rPr>
          <w:color w:val="000000"/>
        </w:rPr>
        <w:t>проводится</w:t>
      </w:r>
      <w:proofErr w:type="gramEnd"/>
      <w:r w:rsidRPr="00F31219">
        <w:rPr>
          <w:color w:val="000000"/>
        </w:rPr>
        <w:t xml:space="preserve"> тренировочная эвакуация как сотрудников, так и посетителей.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Правилами отдельно прописаны требования противопожарной безопасности при применении и реализации пиротехнических изделий бытового назначения.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Кроме того, Правилами определены меры, которые должны быть предприняты должностными лицами, индивидуальными предпринимателями и гражданами в случае обнаружения пожара.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b/>
          <w:color w:val="000000"/>
        </w:rPr>
      </w:pP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color w:val="000000"/>
        </w:rPr>
      </w:pPr>
      <w:r w:rsidRPr="00F31219">
        <w:rPr>
          <w:b/>
          <w:color w:val="000000"/>
        </w:rPr>
        <w:lastRenderedPageBreak/>
        <w:t>Увеличены максимальные сроки  уплаты административных штрафов, наложенных на субъекты малого и среднего предпринимательства</w:t>
      </w:r>
    </w:p>
    <w:p w:rsidR="00F31219" w:rsidRPr="00F31219" w:rsidRDefault="00F31219" w:rsidP="00F3121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Федеральным законом от 08.06.2020 №166-ФЗ в целях обеспечения устойчивого развития экономики и предотвращения последствий распространения новой </w:t>
      </w:r>
      <w:proofErr w:type="spellStart"/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коронавирусной</w:t>
      </w:r>
      <w:proofErr w:type="spellEnd"/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инфекции с 60 дней до 180 дней увеличен максимальный срок уплаты административного штрафа, наложенного на субъекты малого и среднего предпринимательства: юридических лиц и индивидуальных предпринимателей, руководителей и иных работников юридического лица, совершивших административные правонарушения.</w:t>
      </w:r>
      <w:proofErr w:type="gramEnd"/>
    </w:p>
    <w:p w:rsidR="00F31219" w:rsidRPr="00F31219" w:rsidRDefault="00F31219" w:rsidP="00F3121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Течение указанного срока начинается 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штрафа.</w:t>
      </w:r>
    </w:p>
    <w:p w:rsidR="00F31219" w:rsidRPr="00F31219" w:rsidRDefault="00F31219" w:rsidP="00F3121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Указанным законом установлены нарушения, за совершение которых на представителей малого и среднего бизнеса продление срока уплаты штрафов не распространяется. В их числе нарушения в области санитарно – эпидемиологического благополучия населения, безопасности дорожного движения, оборота алкогольной продукции, регистрации гражданина российской Федерации по месту жительства и пребывания, нарушения правил поведения при чрезвычайной ситуации или угрозе ее возникновения и другие.</w:t>
      </w:r>
    </w:p>
    <w:p w:rsidR="00F31219" w:rsidRPr="00F31219" w:rsidRDefault="00F31219" w:rsidP="00F3121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Данный закон </w:t>
      </w:r>
      <w:proofErr w:type="gramStart"/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вступил в силу с 8 июня 2020 года и будет применяться</w:t>
      </w:r>
      <w:proofErr w:type="gramEnd"/>
      <w:r w:rsidRPr="00F312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только в 2020 году.</w:t>
      </w:r>
    </w:p>
    <w:p w:rsidR="00F31219" w:rsidRPr="00F31219" w:rsidRDefault="00F31219" w:rsidP="00F312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31219">
        <w:rPr>
          <w:rFonts w:ascii="Times New Roman" w:hAnsi="Times New Roman" w:cs="Times New Roman"/>
          <w:bCs w:val="0"/>
          <w:color w:val="000000"/>
          <w:sz w:val="24"/>
          <w:szCs w:val="24"/>
        </w:rPr>
        <w:t>Утверждена Стратегия противодействия экстремизму в Российской Федерации до 2025 года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Президентом Российской Федерации 29 мая 2020 года подписан Указ № 344 «Об утверждении Стратегии противодействия экстремизму в Российской Федерации до 2025 г.» (далее – Стратегия).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 </w:t>
      </w:r>
      <w:proofErr w:type="gramStart"/>
      <w:r w:rsidRPr="00F31219">
        <w:rPr>
          <w:color w:val="000000"/>
        </w:rPr>
        <w:t>Данная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 г. № 114-ФЗ «О противодействии экстремистской деятельности» и Указа Президента РФ от 31 декабря 2015 г. № 683 « О стратегии национальной безопасности в Российской Федерации».</w:t>
      </w:r>
      <w:proofErr w:type="gramEnd"/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 </w:t>
      </w:r>
      <w:proofErr w:type="gramStart"/>
      <w:r w:rsidRPr="00F31219">
        <w:rPr>
          <w:color w:val="000000"/>
        </w:rPr>
        <w:t xml:space="preserve">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</w:t>
      </w:r>
      <w:r w:rsidRPr="00F31219">
        <w:rPr>
          <w:color w:val="000000"/>
        </w:rPr>
        <w:lastRenderedPageBreak/>
        <w:t>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</w:t>
      </w:r>
      <w:proofErr w:type="gramEnd"/>
      <w:r w:rsidRPr="00F31219">
        <w:rPr>
          <w:color w:val="000000"/>
        </w:rPr>
        <w:t xml:space="preserve">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F31219" w:rsidRPr="00F31219" w:rsidRDefault="00F31219" w:rsidP="00F31219">
      <w:pPr>
        <w:pStyle w:val="aa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F31219">
        <w:rPr>
          <w:color w:val="000000"/>
        </w:rPr>
        <w:t> Ознакомиться с содержанием Указа Президента РФ  можно на официальном портале правовой информации.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31219" w:rsidRPr="00F31219" w:rsidRDefault="00F31219" w:rsidP="00F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F31219">
        <w:rPr>
          <w:rFonts w:ascii="Times New Roman" w:hAnsi="Times New Roman" w:cs="Times New Roman"/>
          <w:sz w:val="24"/>
          <w:szCs w:val="24"/>
        </w:rPr>
        <w:t>Комсомольского района                                                               А.В. Афанасьев</w:t>
      </w:r>
    </w:p>
    <w:p w:rsidR="00F31219" w:rsidRPr="004F615E" w:rsidRDefault="00F31219" w:rsidP="00F31219">
      <w:pPr>
        <w:rPr>
          <w:sz w:val="28"/>
          <w:szCs w:val="28"/>
        </w:rPr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48" w:rsidRDefault="00115448" w:rsidP="005B5D28">
      <w:pPr>
        <w:spacing w:after="0" w:line="240" w:lineRule="auto"/>
      </w:pPr>
      <w:r>
        <w:separator/>
      </w:r>
    </w:p>
  </w:endnote>
  <w:endnote w:type="continuationSeparator" w:id="0">
    <w:p w:rsidR="00115448" w:rsidRDefault="0011544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48" w:rsidRDefault="00115448" w:rsidP="005B5D28">
      <w:pPr>
        <w:spacing w:after="0" w:line="240" w:lineRule="auto"/>
      </w:pPr>
      <w:r>
        <w:separator/>
      </w:r>
    </w:p>
  </w:footnote>
  <w:footnote w:type="continuationSeparator" w:id="0">
    <w:p w:rsidR="00115448" w:rsidRDefault="0011544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0D335A">
        <w:pPr>
          <w:pStyle w:val="ab"/>
          <w:jc w:val="center"/>
        </w:pPr>
        <w:fldSimple w:instr="PAGE   \* MERGEFORMAT">
          <w:r w:rsidR="00F31219">
            <w:rPr>
              <w:noProof/>
            </w:rPr>
            <w:t>11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C5A78EF"/>
    <w:multiLevelType w:val="multilevel"/>
    <w:tmpl w:val="9534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8"/>
  </w:num>
  <w:num w:numId="19">
    <w:abstractNumId w:val="26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7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35A"/>
    <w:rsid w:val="000D346D"/>
    <w:rsid w:val="000F2DD4"/>
    <w:rsid w:val="001055E6"/>
    <w:rsid w:val="00105D34"/>
    <w:rsid w:val="001073F9"/>
    <w:rsid w:val="00115448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5B7D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31219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8C83-C25F-4C02-927A-7369DBB1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40</cp:revision>
  <dcterms:created xsi:type="dcterms:W3CDTF">2019-05-08T10:57:00Z</dcterms:created>
  <dcterms:modified xsi:type="dcterms:W3CDTF">2020-10-14T05:52:00Z</dcterms:modified>
</cp:coreProperties>
</file>