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7E" w:rsidRPr="00F7627E" w:rsidRDefault="00F7627E" w:rsidP="00F2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Постановление Правительства РФ от 26 февраля 2010 г. N 96</w:t>
      </w: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 xml:space="preserve">"Об </w:t>
      </w:r>
      <w:proofErr w:type="spellStart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экспертизе нормативных правовых актов и проектов нормативных правовых актов"</w:t>
      </w:r>
    </w:p>
    <w:p w:rsidR="00F7627E" w:rsidRPr="00F7627E" w:rsidRDefault="00F7627E" w:rsidP="00F231A9">
      <w:pPr>
        <w:pBdr>
          <w:bottom w:val="dotted" w:sz="4" w:space="0" w:color="3272C0"/>
        </w:pBd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 xml:space="preserve">С изменениями и дополнениями </w:t>
      </w:r>
      <w:proofErr w:type="gramStart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от</w:t>
      </w:r>
      <w:proofErr w:type="gramEnd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: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18 декабря 2012 г., 27 марта, 27 ноября 2013 г., 30 января, 18 июля 2015 г., 10 июля 2017 г.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 соответствии с </w:t>
      </w:r>
      <w:hyperlink r:id="rId4" w:anchor="block_33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Федеральным законом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"Об 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1. Утвердить прилагаемые:</w:t>
      </w:r>
    </w:p>
    <w:p w:rsidR="00F7627E" w:rsidRPr="00F7627E" w:rsidRDefault="0031724B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" w:anchor="block_1000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Правила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проведения </w:t>
      </w:r>
      <w:proofErr w:type="spell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актов;</w:t>
      </w:r>
    </w:p>
    <w:p w:rsidR="00F7627E" w:rsidRPr="00F7627E" w:rsidRDefault="0031724B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" w:anchor="block_2000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методику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проведения </w:t>
      </w:r>
      <w:proofErr w:type="spell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2. Признать утратившими силу:</w:t>
      </w:r>
    </w:p>
    <w:p w:rsidR="00F7627E" w:rsidRPr="00F7627E" w:rsidRDefault="0031724B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7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Правительства Российской Федерации от 5 марта 2009 г. N 195 "Об утверждении </w:t>
      </w:r>
      <w:proofErr w:type="gram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Правил проведения экспертизы проектов нормативных правовых актов</w:t>
      </w:r>
      <w:proofErr w:type="gram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</w:p>
    <w:p w:rsidR="00F7627E" w:rsidRPr="00F7627E" w:rsidRDefault="0031724B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8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Правительства Российской Федерации от 5 марта 2009 г. N 196 "Об утверждении </w:t>
      </w:r>
      <w:proofErr w:type="gram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методики проведения экспертизы проектов нормативных правовых актов</w:t>
      </w:r>
      <w:proofErr w:type="gram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F7627E" w:rsidRPr="00F7627E" w:rsidTr="00F7627E">
        <w:tc>
          <w:tcPr>
            <w:tcW w:w="3300" w:type="pct"/>
            <w:shd w:val="clear" w:color="auto" w:fill="FFFFFF"/>
            <w:vAlign w:val="bottom"/>
            <w:hideMark/>
          </w:tcPr>
          <w:p w:rsidR="00F7627E" w:rsidRPr="00F7627E" w:rsidRDefault="00F7627E" w:rsidP="00F231A9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</w:rPr>
            </w:pPr>
            <w:r w:rsidRPr="00F7627E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</w:rPr>
              <w:t>Председатель Правительства</w:t>
            </w:r>
            <w:r w:rsidRPr="00F7627E">
              <w:rPr>
                <w:rFonts w:ascii="Times New Roman" w:eastAsia="Times New Roman" w:hAnsi="Times New Roman" w:cs="Times New Roman"/>
                <w:color w:val="22272F"/>
                <w:sz w:val="19"/>
                <w:szCs w:val="19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F7627E" w:rsidRPr="00F7627E" w:rsidRDefault="00F7627E" w:rsidP="00F231A9">
            <w:pPr>
              <w:spacing w:before="60" w:after="6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</w:rPr>
            </w:pPr>
            <w:r w:rsidRPr="00F7627E">
              <w:rPr>
                <w:rFonts w:ascii="Times New Roman" w:eastAsia="Times New Roman" w:hAnsi="Times New Roman" w:cs="Times New Roman"/>
                <w:color w:val="464C55"/>
                <w:sz w:val="19"/>
                <w:szCs w:val="19"/>
              </w:rPr>
              <w:t>В. Путин</w:t>
            </w:r>
          </w:p>
        </w:tc>
      </w:tr>
    </w:tbl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Москва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26 февраля 2010 г.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N 96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Правила</w:t>
      </w: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 xml:space="preserve">проведения </w:t>
      </w:r>
      <w:proofErr w:type="spellStart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(утв. </w:t>
      </w:r>
      <w:hyperlink r:id="rId9" w:history="1">
        <w:r w:rsidRPr="00F7627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 Правительства РФ от 26 февраля 2010 г. N 96)</w:t>
      </w:r>
    </w:p>
    <w:p w:rsidR="00F7627E" w:rsidRPr="00F7627E" w:rsidRDefault="00F7627E" w:rsidP="00F231A9">
      <w:pPr>
        <w:pBdr>
          <w:bottom w:val="dotted" w:sz="4" w:space="0" w:color="3272C0"/>
        </w:pBd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 xml:space="preserve">С изменениями и дополнениями </w:t>
      </w:r>
      <w:proofErr w:type="gramStart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от</w:t>
      </w:r>
      <w:proofErr w:type="gramEnd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: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18 декабря 2012 г., 27 марта, 27 ноября 2013 г., 30 января, 18 июля 2015 г., 10 июля 2017 г.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1. Настоящие Правила определяют порядок проведения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факторов и их последующего устранения.</w:t>
      </w:r>
    </w:p>
    <w:p w:rsidR="00F7627E" w:rsidRPr="00F7627E" w:rsidRDefault="00F7627E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См. </w:t>
      </w:r>
      <w:hyperlink r:id="rId10" w:anchor="block_23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Порядок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организации работы по проведению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актов, проектов нормативных правовых актов и иных документов структурными подразделениями Минюста России, утвержденный </w:t>
      </w:r>
      <w:proofErr w:type="spellStart"/>
      <w:r w:rsidR="0031724B">
        <w:fldChar w:fldCharType="begin"/>
      </w:r>
      <w:r w:rsidR="0031724B">
        <w:instrText>HYPERLINK "https://base.garant.ru/70475454/"</w:instrText>
      </w:r>
      <w:r w:rsidR="0031724B">
        <w:fldChar w:fldCharType="separate"/>
      </w:r>
      <w:r w:rsidRPr="00F7627E">
        <w:rPr>
          <w:rFonts w:ascii="Times New Roman" w:eastAsia="Times New Roman" w:hAnsi="Times New Roman" w:cs="Times New Roman"/>
          <w:color w:val="3272C0"/>
          <w:sz w:val="19"/>
        </w:rPr>
        <w:t>приказом</w:t>
      </w:r>
      <w:r w:rsidR="0031724B">
        <w:fldChar w:fldCharType="end"/>
      </w: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Минюста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России от 4 октября 2013 г. N 187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2. Министерство юстиции Российской Федерации проводит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антикоррупционную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экспертизу в соответствии с </w:t>
      </w:r>
      <w:hyperlink r:id="rId11" w:anchor="block_2000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методикой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проведения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утвержденной </w:t>
      </w:r>
      <w:proofErr w:type="spellStart"/>
      <w:r w:rsidR="0031724B">
        <w:fldChar w:fldCharType="begin"/>
      </w:r>
      <w:r w:rsidR="0031724B">
        <w:instrText>HYPERLINK "https://base.garant.ru/197633/"</w:instrText>
      </w:r>
      <w:r w:rsidR="0031724B">
        <w:fldChar w:fldCharType="separate"/>
      </w:r>
      <w:r w:rsidRPr="00F7627E">
        <w:rPr>
          <w:rFonts w:ascii="Times New Roman" w:eastAsia="Times New Roman" w:hAnsi="Times New Roman" w:cs="Times New Roman"/>
          <w:color w:val="3272C0"/>
          <w:sz w:val="19"/>
        </w:rPr>
        <w:t>постановлением</w:t>
      </w:r>
      <w:r w:rsidR="0031724B">
        <w:fldChar w:fldCharType="end"/>
      </w: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Правительства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Российской Федерации от 26 февраля 2010 г. N 96, в отношении: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2" w:anchor="block_1002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ноября 2013 г. N 1075 в подпункт "б"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3" w:anchor="block_10022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lastRenderedPageBreak/>
        <w:t>б)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4" w:anchor="block_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в подпункт "г"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5" w:anchor="block_10024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г) 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6" w:anchor="block_42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пункт 3 изложен в новой редакции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7" w:anchor="block_1003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3. Результаты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отражаются в заключени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18" w:anchor="block_2007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30 января 2015 г. N 83 в пункт 3.1 внесены изменения, </w:t>
      </w:r>
      <w:hyperlink r:id="rId19" w:anchor="block_70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вступающие в силу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с 1 июля 2015 г.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20" w:anchor="block_1003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пункта в предыдущей редакции</w:t>
        </w:r>
      </w:hyperlink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3.1. Разногласия, возникающие при оценке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факторов, указанных в заключени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 </w:t>
      </w:r>
      <w:hyperlink r:id="rId21" w:anchor="block_10021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подпунктами "а"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и </w:t>
      </w:r>
      <w:hyperlink r:id="rId22" w:anchor="block_10022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"б" пункта 2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настоящих Правил, разрешаются в порядке, установленном </w:t>
      </w:r>
      <w:hyperlink r:id="rId23" w:anchor="block_1066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Регламентом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Федерации, утвержденным </w:t>
      </w:r>
      <w:hyperlink r:id="rId24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 от 1 июня 2004 г. N 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Разногласия, возникающие при оценке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факторов, указанных в заключени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 </w:t>
      </w:r>
      <w:proofErr w:type="spellStart"/>
      <w:r w:rsidR="0031724B">
        <w:fldChar w:fldCharType="begin"/>
      </w:r>
      <w:r w:rsidR="0031724B">
        <w:instrText>HYPERLINK "https://base.garant.ru/166045/13e0bf2d49a7f30e22c535cbf17f7f33/" \l "block_100311"</w:instrText>
      </w:r>
      <w:r w:rsidR="0031724B">
        <w:fldChar w:fldCharType="separate"/>
      </w:r>
      <w:r w:rsidRPr="00F7627E">
        <w:rPr>
          <w:rFonts w:ascii="Times New Roman" w:eastAsia="Times New Roman" w:hAnsi="Times New Roman" w:cs="Times New Roman"/>
          <w:color w:val="3272C0"/>
          <w:sz w:val="19"/>
        </w:rPr>
        <w:t>Правилами</w:t>
      </w:r>
      <w:r w:rsidR="0031724B">
        <w:fldChar w:fldCharType="end"/>
      </w: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подготовки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нормативных правовых актов федеральных органов исполнительной власти и их государственной регистрации, утвержденными </w:t>
      </w:r>
      <w:hyperlink r:id="rId25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 от 13 августа 1997 г. N 1009.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26" w:anchor="block_44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пункт 4 изложен в новой редакции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27" w:anchor="block_1004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пункта в предыдущей редакции</w:t>
        </w:r>
      </w:hyperlink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4. 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Независимая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антикоррупционная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экспертиза проводится юридическими лицами и физическими лицами, </w:t>
      </w:r>
      <w:proofErr w:type="spellStart"/>
      <w:r w:rsidR="0031724B">
        <w:fldChar w:fldCharType="begin"/>
      </w:r>
      <w:r w:rsidR="0031724B">
        <w:instrText>HYPERLINK "https://base.garant.ru/70211164/53f89421bbdaf741eb2d1ecc4ddb4c33/" \l "block_1000"</w:instrText>
      </w:r>
      <w:r w:rsidR="0031724B">
        <w:fldChar w:fldCharType="separate"/>
      </w:r>
      <w:r w:rsidRPr="00F7627E">
        <w:rPr>
          <w:rFonts w:ascii="Times New Roman" w:eastAsia="Times New Roman" w:hAnsi="Times New Roman" w:cs="Times New Roman"/>
          <w:color w:val="3272C0"/>
          <w:sz w:val="19"/>
        </w:rPr>
        <w:t>аккредитованными</w:t>
      </w:r>
      <w:r w:rsidR="0031724B">
        <w:fldChar w:fldCharType="end"/>
      </w: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Министерством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юстиции Российской Федерации в качестве экспертов по проведению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в соответствии с </w:t>
      </w:r>
      <w:hyperlink r:id="rId28" w:anchor="block_2000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методикой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проведения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утвержденной </w:t>
      </w:r>
      <w:hyperlink r:id="rId29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 от 26 февраля 2010 г. N 96.</w:t>
      </w:r>
      <w:proofErr w:type="gramEnd"/>
    </w:p>
    <w:p w:rsidR="00F7627E" w:rsidRPr="00F7627E" w:rsidRDefault="00F7627E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Пункт 5 изменен с 22 июля 2017 г. - </w:t>
      </w:r>
      <w:hyperlink r:id="rId30" w:anchor="block_1008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10 июля 2017 г. N 813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31" w:anchor="block_1005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предыдущую редакцию</w:t>
        </w:r>
      </w:hyperlink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5. 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В целях обеспечения возможности проведения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 </w:t>
      </w:r>
      <w:hyperlink r:id="rId32" w:anchor="block_1057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пунктом 57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Регламента Правительства, размещают эти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проекты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lastRenderedPageBreak/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 не менее чем на 7 дней.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 </w:t>
      </w:r>
      <w:hyperlink r:id="rId33" w:anchor="block_10601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пунктом 60.1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Регламента Правительства, заключения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направляются в рамках публичных консультаций, проводимых в порядке, установленном </w:t>
      </w:r>
      <w:hyperlink r:id="rId34" w:anchor="block_102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Правилами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</w:t>
      </w:r>
      <w:proofErr w:type="spellStart"/>
      <w:r w:rsidR="0031724B">
        <w:fldChar w:fldCharType="begin"/>
      </w:r>
      <w:r w:rsidR="0031724B">
        <w:instrText>HYPERLINK "https://base.garant.ru/70285758/"</w:instrText>
      </w:r>
      <w:r w:rsidR="0031724B">
        <w:fldChar w:fldCharType="separate"/>
      </w:r>
      <w:r w:rsidRPr="00F7627E">
        <w:rPr>
          <w:rFonts w:ascii="Times New Roman" w:eastAsia="Times New Roman" w:hAnsi="Times New Roman" w:cs="Times New Roman"/>
          <w:color w:val="3272C0"/>
          <w:sz w:val="19"/>
        </w:rPr>
        <w:t>постановлением</w:t>
      </w:r>
      <w:r w:rsidR="0031724B">
        <w:fldChar w:fldCharType="end"/>
      </w: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Правительства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Российской Федерации от 17 декабря 2012 г. N 1318 "О  порядке проведения федеральными органами исполнительной 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власти оценки регулирующего воздействия проектов нормативных правовых актов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 </w:t>
      </w:r>
      <w:hyperlink r:id="rId35" w:anchor="block_1000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Правилами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 </w:t>
      </w:r>
      <w:hyperlink r:id="rId36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 от 25 августа 2012 г. N 851 "О порядке раскрытия федеральными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37" w:anchor="block_1011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пунктом 11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указанных Правил.</w:t>
      </w:r>
      <w:proofErr w:type="gramEnd"/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 в порядке, установленном </w:t>
      </w:r>
      <w:hyperlink r:id="rId38" w:anchor="block_1005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абзацами первым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и </w:t>
      </w:r>
      <w:hyperlink r:id="rId39" w:anchor="block_1052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вторым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7627E" w:rsidRPr="00F7627E" w:rsidRDefault="00F7627E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Пункт 6 изменен с 22 июля 2017 г. - </w:t>
      </w:r>
      <w:hyperlink r:id="rId40" w:anchor="block_1008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10 июля 2017 г. N 813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41" w:anchor="block_1006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предыдущую редакцию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6. 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В целях обеспечения возможности проведения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 не менее чем на 7 дней.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 случае если проекты нормативных правовых актов федеральных органов исполнительной власти регулируют отношения, предусмотренные </w:t>
      </w:r>
      <w:hyperlink r:id="rId42" w:anchor="block_10031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пунктом 3.1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 </w:t>
      </w:r>
      <w:hyperlink r:id="rId43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Российской Федерации от 13 августа 1997 г. N 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направляются в рамках публичных консультаций, проводимых в порядке, установленном </w:t>
      </w:r>
      <w:hyperlink r:id="rId44" w:anchor="block_102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Правилами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проведения федеральными органами исполнительной 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власти оценки регулирующего воздействия проектов нормативных правовых актов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и проектов решений Совета Евразийской экономической комиссии.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 </w:t>
      </w:r>
      <w:hyperlink r:id="rId45" w:anchor="block_1011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пунктом 11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указанных Правил.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При этом повторное размещение указанных проектов нормативных правовых актов на сайте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regulation.gov.ru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в информационно-телекоммуникационной сети "Интернет" в порядке, установленном </w:t>
      </w:r>
      <w:hyperlink r:id="rId46" w:anchor="block_1006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 xml:space="preserve">абзацами </w:t>
        </w:r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lastRenderedPageBreak/>
          <w:t>первым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и </w:t>
      </w:r>
      <w:hyperlink r:id="rId47" w:anchor="block_1062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вторым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7. Результаты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отражаются в заключении по </w:t>
      </w:r>
      <w:hyperlink r:id="rId48" w:anchor="block_100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форме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, утверждаемой Министерством юстиции Российской Федерации.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49" w:anchor="block_46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Правила дополнены пунктом 7.1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7.1. Юридические лица и физические лица, аккредитованные Министерством юстиции Российской Федерации в качестве экспертов по проведению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а) заключения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б) копии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0" w:anchor="block_46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Правила дополнены пунктом 7.2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7.2. 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в форме электронного документа, на своих официальных сайтах в информационно-телекоммуникационной сети "Интернет" и в течение 7 дней информируют об этом Министерство юстиции Российской Федерации.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в форме электронного документа.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акты</w:t>
      </w:r>
      <w:proofErr w:type="gram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которых подлежат государственной регистрации, не позднее следующего дня после его изменения размещает информацию о 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1" w:anchor="block_1037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пункт 7.3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2" w:anchor="block_1073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lastRenderedPageBreak/>
        <w:t>7.3. 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Заключения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Заключение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антикоррупционную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факторах, или предложений о способе устранения выявленных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факторов), в котором отражается учет результатов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коррупциогенным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фактором.</w:t>
      </w:r>
      <w:proofErr w:type="gramEnd"/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3" w:anchor="block_46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Правила дополнены пунктом 7.4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7.4. В случае если поступившее заключение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 дней после регистрации с указанием причин.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4" w:anchor="block_47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27 марта 2013 г. N 274 в пункт 8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5" w:anchor="block_1008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пункта в предыдущей редакции</w:t>
        </w:r>
      </w:hyperlink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8. </w:t>
      </w:r>
      <w:proofErr w:type="gram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Проекты нормативных правовых актов, предусмотренные в </w:t>
      </w:r>
      <w:hyperlink r:id="rId56" w:anchor="block_1005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пункте 5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настоящих Правил, вносятся Президенту Российской Федерации и (или) в Правительство Российской Федерации с приложением поступивших заключений по результатам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при условии соблюдения положений </w:t>
      </w:r>
      <w:hyperlink r:id="rId57" w:anchor="block_53" w:history="1">
        <w:r w:rsidRPr="00F7627E">
          <w:rPr>
            <w:rFonts w:ascii="Times New Roman" w:eastAsia="Times New Roman" w:hAnsi="Times New Roman" w:cs="Times New Roman"/>
            <w:color w:val="3272C0"/>
            <w:sz w:val="19"/>
          </w:rPr>
          <w:t>части 3 статьи 5</w:t>
        </w:r>
      </w:hyperlink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 Федерального закона "Об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Методика</w:t>
      </w: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 xml:space="preserve">проведения </w:t>
      </w:r>
      <w:proofErr w:type="spellStart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br/>
        <w:t>(утв. </w:t>
      </w:r>
      <w:hyperlink r:id="rId58" w:history="1">
        <w:r w:rsidRPr="00F7627E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</w:rPr>
          <w:t>постановлением</w:t>
        </w:r>
      </w:hyperlink>
      <w:r w:rsidRPr="00F7627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 Правительства РФ от 26 февраля 2010 г. N 96)</w:t>
      </w:r>
    </w:p>
    <w:p w:rsidR="00F7627E" w:rsidRPr="00F7627E" w:rsidRDefault="00F7627E" w:rsidP="00F231A9">
      <w:pPr>
        <w:pBdr>
          <w:bottom w:val="dotted" w:sz="4" w:space="0" w:color="3272C0"/>
        </w:pBdr>
        <w:spacing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 xml:space="preserve">С изменениями и дополнениями </w:t>
      </w:r>
      <w:proofErr w:type="gramStart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от</w:t>
      </w:r>
      <w:proofErr w:type="gramEnd"/>
      <w:r w:rsidRPr="00F7627E">
        <w:rPr>
          <w:rFonts w:ascii="Times New Roman" w:eastAsia="Times New Roman" w:hAnsi="Times New Roman" w:cs="Times New Roman"/>
          <w:b/>
          <w:bCs/>
          <w:color w:val="3272C0"/>
          <w:sz w:val="19"/>
          <w:szCs w:val="19"/>
        </w:rPr>
        <w:t>: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18 июля 2015 г.</w:t>
      </w:r>
    </w:p>
    <w:p w:rsidR="00F7627E" w:rsidRPr="00F7627E" w:rsidRDefault="00F7627E" w:rsidP="00F231A9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коррупциогенных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факторов и их последующего устранения.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нормативных правовых актов и проектов нормативных правовых актов.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2. Для обеспечения обоснованности, объективности и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проверяемости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результатов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антикоррупционной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3. 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Коррупциогенными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факторами, устанавливающими для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правоприменителя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59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"а"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0" w:anchor="block_2003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1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"б"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2" w:anchor="block_20032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lastRenderedPageBreak/>
        <w:t>б) 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3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</w:t>
      </w:r>
      <w:proofErr w:type="gram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</w:t>
      </w:r>
      <w:proofErr w:type="gram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4" w:anchor="block_20033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5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"г"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6" w:anchor="block_20034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г) 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7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</w:t>
      </w:r>
      <w:proofErr w:type="spellStart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д</w:t>
      </w:r>
      <w:proofErr w:type="spellEnd"/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8" w:anchor="block_20035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д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) принятие нормативного правового акта за пределами компетенции 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69" w:anchor="block_1041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"ж"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70" w:anchor="block_20037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ж) отсутствие или неполнота административных процедур 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з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) отказ от конкурсных (аукционных) процедур - закрепление административного порядка предоставления права (блага);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71" w:anchor="block_1043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пункт 3 дополнен подпунктом "и"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4. 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Коррупциогенными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7627E" w:rsidRPr="00F7627E" w:rsidRDefault="0031724B" w:rsidP="00F231A9">
      <w:pPr>
        <w:spacing w:after="0"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72" w:anchor="block_1044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Постановлением</w:t>
        </w:r>
      </w:hyperlink>
      <w:r w:rsidR="00F7627E"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 Правительства РФ от 18 июля 2015 г. N 732 в подпункт "б" внесены изменения</w:t>
      </w:r>
    </w:p>
    <w:p w:rsidR="00F7627E" w:rsidRPr="00F7627E" w:rsidRDefault="0031724B" w:rsidP="00F231A9">
      <w:pPr>
        <w:spacing w:line="264" w:lineRule="atLeast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hyperlink r:id="rId73" w:anchor="block_20042" w:history="1">
        <w:r w:rsidR="00F7627E" w:rsidRPr="00F7627E">
          <w:rPr>
            <w:rFonts w:ascii="Times New Roman" w:eastAsia="Times New Roman" w:hAnsi="Times New Roman" w:cs="Times New Roman"/>
            <w:color w:val="3272C0"/>
            <w:sz w:val="19"/>
          </w:rPr>
          <w:t>См. текст подпункта в предыдущей редакции</w:t>
        </w:r>
      </w:hyperlink>
    </w:p>
    <w:p w:rsidR="00F7627E" w:rsidRPr="00F7627E" w:rsidRDefault="00F7627E" w:rsidP="00F231A9">
      <w:pPr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б) 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7627E" w:rsidRPr="00F7627E" w:rsidRDefault="00F7627E" w:rsidP="00F7627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64C55"/>
          <w:sz w:val="19"/>
          <w:szCs w:val="19"/>
        </w:rPr>
      </w:pPr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 xml:space="preserve">в) юридико-лингвистическая неопределенность - употребление </w:t>
      </w:r>
      <w:proofErr w:type="spellStart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неустоявшихся</w:t>
      </w:r>
      <w:proofErr w:type="spellEnd"/>
      <w:r w:rsidRPr="00F7627E">
        <w:rPr>
          <w:rFonts w:ascii="Times New Roman" w:eastAsia="Times New Roman" w:hAnsi="Times New Roman" w:cs="Times New Roman"/>
          <w:color w:val="464C55"/>
          <w:sz w:val="19"/>
          <w:szCs w:val="19"/>
        </w:rPr>
        <w:t>, двусмысленных терминов и категорий оценочного характера.</w:t>
      </w:r>
    </w:p>
    <w:p w:rsidR="00F7627E" w:rsidRPr="00F7627E" w:rsidRDefault="00F7627E" w:rsidP="00F762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</w:rPr>
      </w:pPr>
      <w:r w:rsidRPr="00F7627E">
        <w:rPr>
          <w:rFonts w:ascii="Times New Roman" w:eastAsia="Times New Roman" w:hAnsi="Times New Roman" w:cs="Times New Roman"/>
          <w:color w:val="22272F"/>
          <w:sz w:val="18"/>
          <w:szCs w:val="18"/>
        </w:rPr>
        <w:t> </w:t>
      </w:r>
    </w:p>
    <w:p w:rsidR="0031724B" w:rsidRDefault="0031724B"/>
    <w:sectPr w:rsidR="0031724B" w:rsidSect="0031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27E"/>
    <w:rsid w:val="0031724B"/>
    <w:rsid w:val="003E41D0"/>
    <w:rsid w:val="00F231A9"/>
    <w:rsid w:val="00F7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4B"/>
  </w:style>
  <w:style w:type="paragraph" w:styleId="4">
    <w:name w:val="heading 4"/>
    <w:basedOn w:val="a"/>
    <w:link w:val="40"/>
    <w:uiPriority w:val="9"/>
    <w:qFormat/>
    <w:rsid w:val="00F76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27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627E"/>
    <w:rPr>
      <w:color w:val="0000FF"/>
      <w:u w:val="single"/>
    </w:rPr>
  </w:style>
  <w:style w:type="paragraph" w:customStyle="1" w:styleId="s16">
    <w:name w:val="s_16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7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62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07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695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2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89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1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0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6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03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5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6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3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2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0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92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7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7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7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17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8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2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58055562/1415e7d79278735d010e185e498df40a/" TargetMode="External"/><Relationship Id="rId18" Type="http://schemas.openxmlformats.org/officeDocument/2006/relationships/hyperlink" Target="https://base.garant.ru/70858444/2e4a6bac6b92f201442158acc2ee2002/" TargetMode="External"/><Relationship Id="rId26" Type="http://schemas.openxmlformats.org/officeDocument/2006/relationships/hyperlink" Target="https://base.garant.ru/70348442/4f029f20c137b48b0fc21d5d28368196/" TargetMode="External"/><Relationship Id="rId39" Type="http://schemas.openxmlformats.org/officeDocument/2006/relationships/hyperlink" Target="https://base.garant.ru/197633/990e2e689b50a91dcb523bf4c6cdbd6c/" TargetMode="External"/><Relationship Id="rId21" Type="http://schemas.openxmlformats.org/officeDocument/2006/relationships/hyperlink" Target="https://base.garant.ru/197633/990e2e689b50a91dcb523bf4c6cdbd6c/" TargetMode="External"/><Relationship Id="rId34" Type="http://schemas.openxmlformats.org/officeDocument/2006/relationships/hyperlink" Target="https://base.garant.ru/70285758/a78cc7a679928cfe2de6d36f3586b686/" TargetMode="External"/><Relationship Id="rId42" Type="http://schemas.openxmlformats.org/officeDocument/2006/relationships/hyperlink" Target="https://base.garant.ru/166045/13e0bf2d49a7f30e22c535cbf17f7f33/" TargetMode="External"/><Relationship Id="rId47" Type="http://schemas.openxmlformats.org/officeDocument/2006/relationships/hyperlink" Target="https://base.garant.ru/197633/990e2e689b50a91dcb523bf4c6cdbd6c/" TargetMode="External"/><Relationship Id="rId50" Type="http://schemas.openxmlformats.org/officeDocument/2006/relationships/hyperlink" Target="https://base.garant.ru/70348442/4f029f20c137b48b0fc21d5d28368196/" TargetMode="External"/><Relationship Id="rId55" Type="http://schemas.openxmlformats.org/officeDocument/2006/relationships/hyperlink" Target="https://base.garant.ru/58047437/e5c994f8256bea9be4e8ac54d6b6a660/" TargetMode="External"/><Relationship Id="rId63" Type="http://schemas.openxmlformats.org/officeDocument/2006/relationships/hyperlink" Target="https://base.garant.ru/71144938/71ca95d1cb25b87777008a61195694ca/" TargetMode="External"/><Relationship Id="rId68" Type="http://schemas.openxmlformats.org/officeDocument/2006/relationships/hyperlink" Target="https://base.garant.ru/57508255/c21da7008bc963b591e9ccfcf654a521/" TargetMode="External"/><Relationship Id="rId7" Type="http://schemas.openxmlformats.org/officeDocument/2006/relationships/hyperlink" Target="https://base.garant.ru/12165619/" TargetMode="External"/><Relationship Id="rId71" Type="http://schemas.openxmlformats.org/officeDocument/2006/relationships/hyperlink" Target="https://base.garant.ru/71144938/71ca95d1cb25b87777008a61195694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348442/4f029f20c137b48b0fc21d5d28368196/" TargetMode="External"/><Relationship Id="rId29" Type="http://schemas.openxmlformats.org/officeDocument/2006/relationships/hyperlink" Target="https://base.garant.ru/197633/" TargetMode="External"/><Relationship Id="rId11" Type="http://schemas.openxmlformats.org/officeDocument/2006/relationships/hyperlink" Target="https://base.garant.ru/197633/990e2e689b50a91dcb523bf4c6cdbd6c/" TargetMode="External"/><Relationship Id="rId24" Type="http://schemas.openxmlformats.org/officeDocument/2006/relationships/hyperlink" Target="https://base.garant.ru/187076/" TargetMode="External"/><Relationship Id="rId32" Type="http://schemas.openxmlformats.org/officeDocument/2006/relationships/hyperlink" Target="https://base.garant.ru/187076/11761c028fd961ebea5cd37a4e642746/" TargetMode="External"/><Relationship Id="rId37" Type="http://schemas.openxmlformats.org/officeDocument/2006/relationships/hyperlink" Target="https://base.garant.ru/70219366/c511fe6ebe40f53282c506866118d509/" TargetMode="External"/><Relationship Id="rId40" Type="http://schemas.openxmlformats.org/officeDocument/2006/relationships/hyperlink" Target="https://base.garant.ru/71719844/d0662dcf9cb260e6228800512d5175ac/" TargetMode="External"/><Relationship Id="rId45" Type="http://schemas.openxmlformats.org/officeDocument/2006/relationships/hyperlink" Target="https://base.garant.ru/70219366/c511fe6ebe40f53282c506866118d509/" TargetMode="External"/><Relationship Id="rId53" Type="http://schemas.openxmlformats.org/officeDocument/2006/relationships/hyperlink" Target="https://base.garant.ru/70348442/4f029f20c137b48b0fc21d5d28368196/" TargetMode="External"/><Relationship Id="rId58" Type="http://schemas.openxmlformats.org/officeDocument/2006/relationships/hyperlink" Target="https://base.garant.ru/197633/" TargetMode="External"/><Relationship Id="rId66" Type="http://schemas.openxmlformats.org/officeDocument/2006/relationships/hyperlink" Target="https://base.garant.ru/57508255/c21da7008bc963b591e9ccfcf654a521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base.garant.ru/197633/990e2e689b50a91dcb523bf4c6cdbd6c/" TargetMode="External"/><Relationship Id="rId15" Type="http://schemas.openxmlformats.org/officeDocument/2006/relationships/hyperlink" Target="https://base.garant.ru/58047437/e5c994f8256bea9be4e8ac54d6b6a660/" TargetMode="External"/><Relationship Id="rId23" Type="http://schemas.openxmlformats.org/officeDocument/2006/relationships/hyperlink" Target="https://base.garant.ru/187076/11761c028fd961ebea5cd37a4e642746/" TargetMode="External"/><Relationship Id="rId28" Type="http://schemas.openxmlformats.org/officeDocument/2006/relationships/hyperlink" Target="https://base.garant.ru/197633/990e2e689b50a91dcb523bf4c6cdbd6c/" TargetMode="External"/><Relationship Id="rId36" Type="http://schemas.openxmlformats.org/officeDocument/2006/relationships/hyperlink" Target="https://base.garant.ru/70219366/" TargetMode="External"/><Relationship Id="rId49" Type="http://schemas.openxmlformats.org/officeDocument/2006/relationships/hyperlink" Target="https://base.garant.ru/70348442/4f029f20c137b48b0fc21d5d28368196/" TargetMode="External"/><Relationship Id="rId57" Type="http://schemas.openxmlformats.org/officeDocument/2006/relationships/hyperlink" Target="https://base.garant.ru/195958/5633a92d35b966c2ba2f1e859e7bdd69/" TargetMode="External"/><Relationship Id="rId61" Type="http://schemas.openxmlformats.org/officeDocument/2006/relationships/hyperlink" Target="https://base.garant.ru/71144938/71ca95d1cb25b87777008a61195694ca/" TargetMode="External"/><Relationship Id="rId10" Type="http://schemas.openxmlformats.org/officeDocument/2006/relationships/hyperlink" Target="https://base.garant.ru/70475454/74d7c78a3a1e33cef2750a2b7b35d2ed/" TargetMode="External"/><Relationship Id="rId19" Type="http://schemas.openxmlformats.org/officeDocument/2006/relationships/hyperlink" Target="https://base.garant.ru/70858444/2e4a6bac6b92f201442158acc2ee2002/" TargetMode="External"/><Relationship Id="rId31" Type="http://schemas.openxmlformats.org/officeDocument/2006/relationships/hyperlink" Target="https://base.garant.ru/57422523/3e41af82022e598ffff03ee2f3ad7153/" TargetMode="External"/><Relationship Id="rId44" Type="http://schemas.openxmlformats.org/officeDocument/2006/relationships/hyperlink" Target="https://base.garant.ru/70285758/a78cc7a679928cfe2de6d36f3586b686/" TargetMode="External"/><Relationship Id="rId52" Type="http://schemas.openxmlformats.org/officeDocument/2006/relationships/hyperlink" Target="https://base.garant.ru/57508255/c21da7008bc963b591e9ccfcf654a521/" TargetMode="External"/><Relationship Id="rId60" Type="http://schemas.openxmlformats.org/officeDocument/2006/relationships/hyperlink" Target="https://base.garant.ru/57508255/c21da7008bc963b591e9ccfcf654a521/" TargetMode="External"/><Relationship Id="rId65" Type="http://schemas.openxmlformats.org/officeDocument/2006/relationships/hyperlink" Target="https://base.garant.ru/71144938/71ca95d1cb25b87777008a61195694ca/" TargetMode="External"/><Relationship Id="rId73" Type="http://schemas.openxmlformats.org/officeDocument/2006/relationships/hyperlink" Target="https://base.garant.ru/57508255/c21da7008bc963b591e9ccfcf654a521/" TargetMode="External"/><Relationship Id="rId4" Type="http://schemas.openxmlformats.org/officeDocument/2006/relationships/hyperlink" Target="https://base.garant.ru/195958/5ac206a89ea76855804609cd950fcaf7/" TargetMode="External"/><Relationship Id="rId9" Type="http://schemas.openxmlformats.org/officeDocument/2006/relationships/hyperlink" Target="https://base.garant.ru/197633/" TargetMode="External"/><Relationship Id="rId14" Type="http://schemas.openxmlformats.org/officeDocument/2006/relationships/hyperlink" Target="https://base.garant.ru/70348442/4f029f20c137b48b0fc21d5d28368196/" TargetMode="External"/><Relationship Id="rId22" Type="http://schemas.openxmlformats.org/officeDocument/2006/relationships/hyperlink" Target="https://base.garant.ru/197633/990e2e689b50a91dcb523bf4c6cdbd6c/" TargetMode="External"/><Relationship Id="rId27" Type="http://schemas.openxmlformats.org/officeDocument/2006/relationships/hyperlink" Target="https://base.garant.ru/58047437/e5c994f8256bea9be4e8ac54d6b6a660/" TargetMode="External"/><Relationship Id="rId30" Type="http://schemas.openxmlformats.org/officeDocument/2006/relationships/hyperlink" Target="https://base.garant.ru/71719844/d0662dcf9cb260e6228800512d5175ac/" TargetMode="External"/><Relationship Id="rId35" Type="http://schemas.openxmlformats.org/officeDocument/2006/relationships/hyperlink" Target="https://base.garant.ru/70219366/c511fe6ebe40f53282c506866118d509/" TargetMode="External"/><Relationship Id="rId43" Type="http://schemas.openxmlformats.org/officeDocument/2006/relationships/hyperlink" Target="https://base.garant.ru/166045/" TargetMode="External"/><Relationship Id="rId48" Type="http://schemas.openxmlformats.org/officeDocument/2006/relationships/hyperlink" Target="https://base.garant.ru/12191921/89300effb84a59912210b23abe10a68f/" TargetMode="External"/><Relationship Id="rId56" Type="http://schemas.openxmlformats.org/officeDocument/2006/relationships/hyperlink" Target="https://base.garant.ru/197633/990e2e689b50a91dcb523bf4c6cdbd6c/" TargetMode="External"/><Relationship Id="rId64" Type="http://schemas.openxmlformats.org/officeDocument/2006/relationships/hyperlink" Target="https://base.garant.ru/57508255/c21da7008bc963b591e9ccfcf654a521/" TargetMode="External"/><Relationship Id="rId69" Type="http://schemas.openxmlformats.org/officeDocument/2006/relationships/hyperlink" Target="https://base.garant.ru/71144938/71ca95d1cb25b87777008a61195694ca/" TargetMode="External"/><Relationship Id="rId8" Type="http://schemas.openxmlformats.org/officeDocument/2006/relationships/hyperlink" Target="https://base.garant.ru/12165618/" TargetMode="External"/><Relationship Id="rId51" Type="http://schemas.openxmlformats.org/officeDocument/2006/relationships/hyperlink" Target="https://base.garant.ru/71144938/71ca95d1cb25b87777008a61195694ca/" TargetMode="External"/><Relationship Id="rId72" Type="http://schemas.openxmlformats.org/officeDocument/2006/relationships/hyperlink" Target="https://base.garant.ru/71144938/71ca95d1cb25b87777008a61195694c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70518932/02f347f58b4a31d32e492929fa9af1bc/" TargetMode="External"/><Relationship Id="rId17" Type="http://schemas.openxmlformats.org/officeDocument/2006/relationships/hyperlink" Target="https://base.garant.ru/58047437/e5c994f8256bea9be4e8ac54d6b6a660/" TargetMode="External"/><Relationship Id="rId25" Type="http://schemas.openxmlformats.org/officeDocument/2006/relationships/hyperlink" Target="https://base.garant.ru/166045/" TargetMode="External"/><Relationship Id="rId33" Type="http://schemas.openxmlformats.org/officeDocument/2006/relationships/hyperlink" Target="https://base.garant.ru/187076/11761c028fd961ebea5cd37a4e642746/" TargetMode="External"/><Relationship Id="rId38" Type="http://schemas.openxmlformats.org/officeDocument/2006/relationships/hyperlink" Target="https://base.garant.ru/197633/990e2e689b50a91dcb523bf4c6cdbd6c/" TargetMode="External"/><Relationship Id="rId46" Type="http://schemas.openxmlformats.org/officeDocument/2006/relationships/hyperlink" Target="https://base.garant.ru/197633/990e2e689b50a91dcb523bf4c6cdbd6c/" TargetMode="External"/><Relationship Id="rId59" Type="http://schemas.openxmlformats.org/officeDocument/2006/relationships/hyperlink" Target="https://base.garant.ru/71144938/71ca95d1cb25b87777008a61195694ca/" TargetMode="External"/><Relationship Id="rId67" Type="http://schemas.openxmlformats.org/officeDocument/2006/relationships/hyperlink" Target="https://base.garant.ru/71144938/71ca95d1cb25b87777008a61195694ca/" TargetMode="External"/><Relationship Id="rId20" Type="http://schemas.openxmlformats.org/officeDocument/2006/relationships/hyperlink" Target="https://base.garant.ru/57501902/3bee529764dc0fca981bd2d5e96cb2b5/" TargetMode="External"/><Relationship Id="rId41" Type="http://schemas.openxmlformats.org/officeDocument/2006/relationships/hyperlink" Target="https://base.garant.ru/57422523/3e41af82022e598ffff03ee2f3ad7153/" TargetMode="External"/><Relationship Id="rId54" Type="http://schemas.openxmlformats.org/officeDocument/2006/relationships/hyperlink" Target="https://base.garant.ru/70348442/4f029f20c137b48b0fc21d5d28368196/" TargetMode="External"/><Relationship Id="rId62" Type="http://schemas.openxmlformats.org/officeDocument/2006/relationships/hyperlink" Target="https://base.garant.ru/57508255/c21da7008bc963b591e9ccfcf654a521/" TargetMode="External"/><Relationship Id="rId70" Type="http://schemas.openxmlformats.org/officeDocument/2006/relationships/hyperlink" Target="https://base.garant.ru/57508255/c21da7008bc963b591e9ccfcf654a521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ase.garant.ru/197633/990e2e689b50a91dcb523bf4c6cdbd6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4730</Words>
  <Characters>26966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Байгулово</dc:creator>
  <cp:lastModifiedBy>Пользователь Windows</cp:lastModifiedBy>
  <cp:revision>2</cp:revision>
  <dcterms:created xsi:type="dcterms:W3CDTF">2020-07-06T11:14:00Z</dcterms:created>
  <dcterms:modified xsi:type="dcterms:W3CDTF">2020-07-06T11:14:00Z</dcterms:modified>
</cp:coreProperties>
</file>