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E83D2F" w:rsidRPr="00E83D2F" w:rsidTr="00E70869">
        <w:trPr>
          <w:cantSplit/>
          <w:trHeight w:val="542"/>
        </w:trPr>
        <w:tc>
          <w:tcPr>
            <w:tcW w:w="4161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РАЙОНĚ</w:t>
            </w:r>
          </w:p>
        </w:tc>
        <w:tc>
          <w:tcPr>
            <w:tcW w:w="1225" w:type="dxa"/>
            <w:vMerge w:val="restart"/>
          </w:tcPr>
          <w:p w:rsidR="00E83D2F" w:rsidRPr="00E83D2F" w:rsidRDefault="000605E7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605E7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5.1pt;margin-top:1.8pt;width:56.7pt;height:57pt;z-index:1;visibility:visible;mso-position-horizontal-relative:text;mso-position-vertical-relative:text">
                  <v:imagedata r:id="rId5" o:title="Gerb-ch"/>
                </v:shape>
              </w:pict>
            </w:r>
          </w:p>
        </w:tc>
        <w:tc>
          <w:tcPr>
            <w:tcW w:w="4184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83D2F" w:rsidRPr="00E83D2F" w:rsidTr="00E70869">
        <w:trPr>
          <w:cantSplit/>
          <w:trHeight w:val="1785"/>
        </w:trPr>
        <w:tc>
          <w:tcPr>
            <w:tcW w:w="4161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февраля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2020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№ 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48-3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               Т</w:t>
            </w: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СОЛДЫБАЕВСКОГО СЕЛЬСКОГО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ПОСЕЛЕНИЯ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i/>
                <w:sz w:val="26"/>
                <w:szCs w:val="26"/>
              </w:rPr>
            </w:pPr>
            <w:r w:rsidRPr="00C54E3D">
              <w:rPr>
                <w:sz w:val="26"/>
                <w:szCs w:val="26"/>
              </w:rPr>
              <w:t xml:space="preserve">      </w:t>
            </w:r>
            <w:r w:rsidRPr="00C54E3D">
              <w:rPr>
                <w:i/>
                <w:sz w:val="26"/>
                <w:szCs w:val="26"/>
              </w:rPr>
              <w:t xml:space="preserve">         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b w:val="0"/>
                <w:i/>
                <w:sz w:val="26"/>
                <w:szCs w:val="26"/>
              </w:rPr>
            </w:pPr>
            <w:r w:rsidRPr="00C54E3D">
              <w:rPr>
                <w:i/>
                <w:sz w:val="26"/>
                <w:szCs w:val="26"/>
              </w:rPr>
              <w:t xml:space="preserve">           </w:t>
            </w:r>
            <w:r w:rsidRPr="00C54E3D">
              <w:rPr>
                <w:b w:val="0"/>
                <w:i/>
                <w:sz w:val="26"/>
                <w:szCs w:val="26"/>
              </w:rPr>
              <w:t>РЕШЕНИЕ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E83D2F" w:rsidRDefault="00146F58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  «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>11</w:t>
            </w:r>
            <w:r w:rsidR="00B911DB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>февраля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 2020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 xml:space="preserve">г. </w:t>
            </w:r>
            <w:r w:rsidR="00E83D2F" w:rsidRPr="00E83D2F">
              <w:rPr>
                <w:rFonts w:ascii="Times New Roman" w:eastAsiaTheme="minorEastAsia" w:hAnsi="Times New Roman"/>
                <w:sz w:val="26"/>
                <w:szCs w:val="26"/>
              </w:rPr>
              <w:t xml:space="preserve">  № 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>48-3</w:t>
            </w:r>
          </w:p>
          <w:p w:rsidR="00E83D2F" w:rsidRPr="00E83D2F" w:rsidRDefault="00E83D2F" w:rsidP="00E70869">
            <w:pPr>
              <w:spacing w:after="0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sz w:val="26"/>
                <w:szCs w:val="26"/>
              </w:rPr>
              <w:t>ДЕРЕВНЯ СОЛДЫБАЕВО</w:t>
            </w:r>
          </w:p>
        </w:tc>
      </w:tr>
    </w:tbl>
    <w:p w:rsidR="00262FEF" w:rsidRPr="00262FEF" w:rsidRDefault="00262FEF" w:rsidP="00262F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 w:rsidR="006C106B">
        <w:rPr>
          <w:rFonts w:ascii="Times New Roman" w:hAnsi="Times New Roman"/>
          <w:szCs w:val="24"/>
        </w:rPr>
        <w:t xml:space="preserve">                               </w:t>
      </w:r>
    </w:p>
    <w:p w:rsidR="00F86575" w:rsidRDefault="00F86575" w:rsidP="00A72D91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</w:p>
    <w:p w:rsidR="00F86575" w:rsidRDefault="006E11F3" w:rsidP="00F86575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323">
        <w:rPr>
          <w:rFonts w:ascii="Times New Roman" w:hAnsi="Times New Roman"/>
          <w:sz w:val="28"/>
          <w:szCs w:val="28"/>
        </w:rPr>
        <w:t>48</w:t>
      </w:r>
      <w:r w:rsidR="00F91BE7">
        <w:rPr>
          <w:rFonts w:ascii="Times New Roman" w:hAnsi="Times New Roman"/>
          <w:sz w:val="28"/>
          <w:szCs w:val="28"/>
        </w:rPr>
        <w:t xml:space="preserve"> </w:t>
      </w:r>
      <w:r w:rsidR="006E3851">
        <w:rPr>
          <w:rFonts w:ascii="Times New Roman" w:hAnsi="Times New Roman"/>
          <w:sz w:val="28"/>
          <w:szCs w:val="28"/>
        </w:rPr>
        <w:t xml:space="preserve">ЗАСЕДАНИЕ </w:t>
      </w:r>
      <w:r w:rsidR="00AF7AD3" w:rsidRPr="00AF7AD3">
        <w:rPr>
          <w:rFonts w:ascii="Times New Roman" w:hAnsi="Times New Roman"/>
          <w:sz w:val="28"/>
          <w:szCs w:val="28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 xml:space="preserve">3 </w:t>
      </w:r>
      <w:r w:rsidR="00AF7AD3" w:rsidRPr="00AF7AD3">
        <w:rPr>
          <w:rFonts w:ascii="Times New Roman" w:hAnsi="Times New Roman"/>
          <w:sz w:val="28"/>
          <w:szCs w:val="28"/>
        </w:rPr>
        <w:t>СОЗЫВА</w:t>
      </w:r>
    </w:p>
    <w:p w:rsidR="00F86575" w:rsidRPr="00F86575" w:rsidRDefault="00F86575" w:rsidP="00F86575">
      <w:pPr>
        <w:pStyle w:val="21"/>
        <w:spacing w:line="230" w:lineRule="auto"/>
        <w:ind w:right="4470"/>
        <w:rPr>
          <w:rFonts w:ascii="Times New Roman" w:hAnsi="Times New Roman"/>
          <w:b/>
          <w:bCs/>
          <w:sz w:val="24"/>
          <w:szCs w:val="24"/>
        </w:rPr>
      </w:pPr>
      <w:r w:rsidRPr="00F86575">
        <w:rPr>
          <w:rFonts w:ascii="Times New Roman" w:hAnsi="Times New Roman"/>
          <w:b/>
          <w:bCs/>
          <w:sz w:val="24"/>
          <w:szCs w:val="24"/>
        </w:rPr>
        <w:t>О внесении изменений в реше</w:t>
      </w:r>
      <w:r w:rsidR="00DD499F">
        <w:rPr>
          <w:rFonts w:ascii="Times New Roman" w:hAnsi="Times New Roman"/>
          <w:b/>
          <w:bCs/>
          <w:sz w:val="24"/>
          <w:szCs w:val="24"/>
        </w:rPr>
        <w:t xml:space="preserve">ние Собрания депутатов Солдыбаевского сельского </w:t>
      </w:r>
      <w:r w:rsidRPr="00F86575">
        <w:rPr>
          <w:rFonts w:ascii="Times New Roman" w:hAnsi="Times New Roman"/>
          <w:b/>
          <w:bCs/>
          <w:sz w:val="24"/>
          <w:szCs w:val="24"/>
        </w:rPr>
        <w:t>поселения Козловского района Чувашской Республики « Об утверждении Положения «О вопросах налогового</w:t>
      </w:r>
      <w:r w:rsidR="00DD499F">
        <w:rPr>
          <w:rFonts w:ascii="Times New Roman" w:hAnsi="Times New Roman"/>
          <w:b/>
          <w:bCs/>
          <w:sz w:val="24"/>
          <w:szCs w:val="24"/>
        </w:rPr>
        <w:t xml:space="preserve"> регулирования  в  Солдыбаевском сельском </w:t>
      </w:r>
      <w:r w:rsidRPr="00F86575">
        <w:rPr>
          <w:rFonts w:ascii="Times New Roman" w:hAnsi="Times New Roman"/>
          <w:b/>
          <w:bCs/>
          <w:sz w:val="24"/>
          <w:szCs w:val="24"/>
        </w:rPr>
        <w:t>поселении, отнесенных законодательством Российской Федерации и Чувашской  Республики о налогах и сборах к ведению органов местного самоуправления»</w:t>
      </w:r>
    </w:p>
    <w:p w:rsidR="00F86575" w:rsidRDefault="00F86575" w:rsidP="00F86575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</w:p>
    <w:p w:rsidR="007B2B29" w:rsidRDefault="00F86575" w:rsidP="00F86575">
      <w:pPr>
        <w:tabs>
          <w:tab w:val="left" w:pos="2925"/>
          <w:tab w:val="center" w:pos="474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 w:rsidR="007B2B29">
        <w:rPr>
          <w:rFonts w:ascii="Times New Roman" w:hAnsi="Times New Roman"/>
        </w:rPr>
        <w:t xml:space="preserve">В соответствии с </w:t>
      </w:r>
      <w:hyperlink r:id="rId6" w:history="1">
        <w:r w:rsidR="007B2B29">
          <w:rPr>
            <w:rStyle w:val="a9"/>
          </w:rPr>
          <w:t>Налоговым кодексом</w:t>
        </w:r>
      </w:hyperlink>
      <w:r w:rsidR="007B2B29">
        <w:rPr>
          <w:rFonts w:ascii="Times New Roman" w:hAnsi="Times New Roman"/>
        </w:rPr>
        <w:t xml:space="preserve"> Российской Федерации, </w:t>
      </w:r>
      <w:hyperlink r:id="rId7" w:history="1">
        <w:r w:rsidR="007B2B29">
          <w:rPr>
            <w:rStyle w:val="a9"/>
          </w:rPr>
          <w:t>Федеральным законом</w:t>
        </w:r>
      </w:hyperlink>
      <w:r w:rsidR="007B2B29">
        <w:rPr>
          <w:rFonts w:ascii="Times New Roman" w:hAnsi="Times New Roman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="007B2B29">
          <w:rPr>
            <w:rStyle w:val="a9"/>
          </w:rPr>
          <w:t>Федеральным законом</w:t>
        </w:r>
      </w:hyperlink>
      <w:r w:rsidR="007B2B29">
        <w:rPr>
          <w:rFonts w:ascii="Times New Roman" w:hAnsi="Times New Roman"/>
        </w:rPr>
        <w:t xml:space="preserve"> N 334-ФЗ "О внесении изменений в статью 52 части первой и часть вторую Налогового кодекса Российской Федерации",</w:t>
      </w:r>
      <w:r>
        <w:rPr>
          <w:rFonts w:ascii="Times New Roman" w:hAnsi="Times New Roman"/>
        </w:rPr>
        <w:t xml:space="preserve"> Уставом  Солдыбаевского сельского </w:t>
      </w:r>
      <w:r w:rsidR="007B2B29">
        <w:rPr>
          <w:rFonts w:ascii="Times New Roman" w:hAnsi="Times New Roman"/>
        </w:rPr>
        <w:t xml:space="preserve"> поселения Козловского  района Чувашской республики в целях регулирования налоговых прав</w:t>
      </w:r>
      <w:r>
        <w:rPr>
          <w:rFonts w:ascii="Times New Roman" w:hAnsi="Times New Roman"/>
        </w:rPr>
        <w:t>оотношений Собрание депутатов  Солдыбаевского</w:t>
      </w:r>
      <w:proofErr w:type="gramEnd"/>
      <w:r>
        <w:rPr>
          <w:rFonts w:ascii="Times New Roman" w:hAnsi="Times New Roman"/>
        </w:rPr>
        <w:t xml:space="preserve"> сельского </w:t>
      </w:r>
      <w:r w:rsidR="007B2B29">
        <w:rPr>
          <w:rFonts w:ascii="Times New Roman" w:hAnsi="Times New Roman"/>
        </w:rPr>
        <w:t xml:space="preserve">поселения Козловского района Чувашской Республики </w:t>
      </w:r>
      <w:proofErr w:type="spellStart"/>
      <w:proofErr w:type="gramStart"/>
      <w:r w:rsidR="007B2B29" w:rsidRPr="00F86575"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="007B2B29" w:rsidRPr="00F86575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</w:t>
      </w:r>
      <w:proofErr w:type="spellStart"/>
      <w:r w:rsidR="007B2B29" w:rsidRPr="00F86575">
        <w:rPr>
          <w:rFonts w:ascii="Times New Roman" w:hAnsi="Times New Roman"/>
          <w:b/>
        </w:rPr>
        <w:t>ш</w:t>
      </w:r>
      <w:proofErr w:type="spellEnd"/>
      <w:r>
        <w:rPr>
          <w:rFonts w:ascii="Times New Roman" w:hAnsi="Times New Roman"/>
          <w:b/>
        </w:rPr>
        <w:t xml:space="preserve"> </w:t>
      </w:r>
      <w:r w:rsidR="007B2B29" w:rsidRPr="00F86575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="007B2B29" w:rsidRPr="00F86575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 xml:space="preserve"> </w:t>
      </w:r>
      <w:r w:rsidR="007B2B29" w:rsidRPr="00F86575">
        <w:rPr>
          <w:rFonts w:ascii="Times New Roman" w:hAnsi="Times New Roman"/>
          <w:b/>
        </w:rPr>
        <w:t>о</w:t>
      </w:r>
      <w:r w:rsidR="007B2B29">
        <w:rPr>
          <w:rFonts w:ascii="Times New Roman" w:hAnsi="Times New Roman"/>
        </w:rPr>
        <w:t>:</w:t>
      </w:r>
    </w:p>
    <w:p w:rsidR="007B2B29" w:rsidRDefault="007B2B29" w:rsidP="007B2B29">
      <w:pPr>
        <w:ind w:firstLine="7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Статья </w:t>
      </w:r>
      <w:r w:rsidR="00F86575">
        <w:rPr>
          <w:rFonts w:ascii="Times New Roman" w:hAnsi="Times New Roman"/>
        </w:rPr>
        <w:t>1</w:t>
      </w:r>
    </w:p>
    <w:p w:rsidR="00225F1F" w:rsidRDefault="00013219" w:rsidP="00F86575">
      <w:pPr>
        <w:spacing w:line="240" w:lineRule="auto"/>
        <w:ind w:firstLine="7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решение Собрания депутатов  Солдыбаевского сельского поселения Козловского района  от  26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61/1 «Об утверждении  Положения  «О вопросах налогового регулирования в  Солдыбаевском сельском поселении Козловского района, отнесенных законодательством  Российской  Федерации  и  Чувашской  Республики о  налогах  и  сборах  к ведению  органов  местного  самоуправления»  (с изменениями от20.04.2009 г. № 76/2, от  02.09.2009 г. № 86/7, от  28.04.2010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г. № 97/2, от 24.11.2010 г. № 11/11, от  19.09.2012 г. № 13/1, от  18.02.2013 г. № 17/2, от 05.09.2013 г. № 24/1, от 19.11.2013 г. № 26/2, от  07.02.2014 г. № 28/2, от  27.11.2014 г. № 34/2 , от 29.10.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.№3/8, от 08.02.2016 г. № 6/1, от 07.11.2018 г. № 31/2, от 27.02.2019 г. № 37/3</w:t>
      </w:r>
      <w:r w:rsidR="00EC29DF">
        <w:rPr>
          <w:rFonts w:ascii="Times New Roman" w:hAnsi="Times New Roman"/>
          <w:sz w:val="24"/>
          <w:szCs w:val="24"/>
        </w:rPr>
        <w:t>, от</w:t>
      </w:r>
      <w:proofErr w:type="gramEnd"/>
      <w:r w:rsidR="00EC29DF">
        <w:rPr>
          <w:rFonts w:ascii="Times New Roman" w:hAnsi="Times New Roman"/>
          <w:sz w:val="24"/>
          <w:szCs w:val="24"/>
        </w:rPr>
        <w:t xml:space="preserve"> 31.05.2019 г.</w:t>
      </w:r>
      <w:r w:rsidR="00AA2E00">
        <w:rPr>
          <w:rFonts w:ascii="Times New Roman" w:hAnsi="Times New Roman"/>
          <w:sz w:val="24"/>
          <w:szCs w:val="24"/>
        </w:rPr>
        <w:t>40/1, от</w:t>
      </w:r>
      <w:r w:rsidR="00EC29DF">
        <w:rPr>
          <w:rFonts w:ascii="Times New Roman" w:hAnsi="Times New Roman"/>
          <w:sz w:val="24"/>
          <w:szCs w:val="24"/>
        </w:rPr>
        <w:t xml:space="preserve"> </w:t>
      </w:r>
      <w:r w:rsidR="00126104">
        <w:rPr>
          <w:rFonts w:ascii="Times New Roman" w:hAnsi="Times New Roman"/>
          <w:sz w:val="24"/>
          <w:szCs w:val="24"/>
        </w:rPr>
        <w:t>29.08.2019г. №43/3, от13.11.2019г. № 45/2)</w:t>
      </w:r>
      <w:r w:rsidR="005E5B0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5F1F" w:rsidRDefault="00225F1F" w:rsidP="00225F1F">
      <w:pPr>
        <w:rPr>
          <w:rFonts w:ascii="Times New Roman" w:hAnsi="Times New Roman"/>
        </w:rPr>
      </w:pPr>
      <w:bookmarkStart w:id="0" w:name="sub_1"/>
      <w:r>
        <w:rPr>
          <w:rFonts w:ascii="Times New Roman" w:hAnsi="Times New Roman"/>
        </w:rPr>
        <w:t>1)</w:t>
      </w:r>
      <w:bookmarkStart w:id="1" w:name="sub_11"/>
      <w:bookmarkEnd w:id="0"/>
      <w:r>
        <w:rPr>
          <w:rFonts w:ascii="Times New Roman" w:hAnsi="Times New Roman"/>
        </w:rPr>
        <w:t xml:space="preserve"> статью 9 дополнить пунктом 4 следующего содержания: </w:t>
      </w:r>
    </w:p>
    <w:p w:rsidR="00225F1F" w:rsidRDefault="00225F1F" w:rsidP="00225F1F">
      <w:pPr>
        <w:rPr>
          <w:rFonts w:ascii="Times New Roman" w:hAnsi="Times New Roman"/>
        </w:rPr>
      </w:pPr>
      <w:r>
        <w:rPr>
          <w:rFonts w:ascii="Times New Roman" w:hAnsi="Times New Roman"/>
        </w:rPr>
        <w:t>"4. Общая сумма налоговых льгот, предоставляемых в очередном финансовом году, не должна уменьшать сумму налого</w:t>
      </w:r>
      <w:r w:rsidR="00C6065D">
        <w:rPr>
          <w:rFonts w:ascii="Times New Roman" w:hAnsi="Times New Roman"/>
        </w:rPr>
        <w:t>вых доходов бюджета Солдыбаевского сельского</w:t>
      </w:r>
      <w:r>
        <w:rPr>
          <w:rFonts w:ascii="Times New Roman" w:hAnsi="Times New Roman"/>
        </w:rPr>
        <w:t xml:space="preserve"> поселения Козловского района Чувашской Республики, планируемых к поступлению на очередной финансовый год без учета предоставления таких льгот, более чем на 5 процентов</w:t>
      </w:r>
      <w:proofErr w:type="gramStart"/>
      <w:r>
        <w:rPr>
          <w:rFonts w:ascii="Times New Roman" w:hAnsi="Times New Roman"/>
        </w:rPr>
        <w:t>."</w:t>
      </w:r>
      <w:proofErr w:type="gramEnd"/>
    </w:p>
    <w:p w:rsidR="00225F1F" w:rsidRDefault="00225F1F" w:rsidP="00225F1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пункт 1 статьи 10 дополнить абзацем следующего содержания:</w:t>
      </w:r>
    </w:p>
    <w:p w:rsidR="00225F1F" w:rsidRDefault="00225F1F" w:rsidP="00225F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</w:t>
      </w:r>
      <w:hyperlink r:id="rId9" w:history="1">
        <w:r>
          <w:rPr>
            <w:rStyle w:val="a9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 о налогах и сборах</w:t>
      </w:r>
      <w:proofErr w:type="gramStart"/>
      <w:r>
        <w:rPr>
          <w:rFonts w:ascii="Times New Roman" w:hAnsi="Times New Roman"/>
        </w:rPr>
        <w:t>."</w:t>
      </w:r>
      <w:proofErr w:type="gramEnd"/>
    </w:p>
    <w:p w:rsidR="00225F1F" w:rsidRDefault="00225F1F" w:rsidP="00225F1F">
      <w:pPr>
        <w:rPr>
          <w:rFonts w:ascii="Times New Roman" w:hAnsi="Times New Roman"/>
        </w:rPr>
      </w:pPr>
      <w:r>
        <w:rPr>
          <w:rFonts w:ascii="Times New Roman" w:hAnsi="Times New Roman"/>
        </w:rPr>
        <w:t>3) дополнить Главой 4.1. "Социально-экономическая эффективность налоговых льгот" следующего содержания:</w:t>
      </w:r>
    </w:p>
    <w:p w:rsidR="00225F1F" w:rsidRDefault="00225F1F" w:rsidP="00225F1F">
      <w:pPr>
        <w:rPr>
          <w:rFonts w:ascii="Times New Roman" w:hAnsi="Times New Roman"/>
        </w:rPr>
      </w:pPr>
      <w:bookmarkStart w:id="2" w:name="sub_131"/>
      <w:r>
        <w:rPr>
          <w:rFonts w:ascii="Times New Roman" w:hAnsi="Times New Roman"/>
        </w:rPr>
        <w:t>"1.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225F1F" w:rsidRDefault="00225F1F" w:rsidP="00225F1F">
      <w:pPr>
        <w:rPr>
          <w:rFonts w:ascii="Times New Roman" w:hAnsi="Times New Roman"/>
        </w:rPr>
      </w:pPr>
      <w:bookmarkStart w:id="3" w:name="sub_132"/>
      <w:bookmarkEnd w:id="2"/>
      <w:r>
        <w:rPr>
          <w:rFonts w:ascii="Times New Roman" w:hAnsi="Times New Roman"/>
        </w:rPr>
        <w:t>2. Оценка социально-экономической эффективности налоговых льгот осуществляетс</w:t>
      </w:r>
      <w:r w:rsidR="00C6065D">
        <w:rPr>
          <w:rFonts w:ascii="Times New Roman" w:hAnsi="Times New Roman"/>
        </w:rPr>
        <w:t>я администрацией Солдыбаевского сельского</w:t>
      </w:r>
      <w:r>
        <w:rPr>
          <w:rFonts w:ascii="Times New Roman" w:hAnsi="Times New Roman"/>
        </w:rPr>
        <w:t xml:space="preserve"> поселения Козловского района Чувашской Республики в порядке, установленном</w:t>
      </w:r>
      <w:r w:rsidR="00C6065D">
        <w:rPr>
          <w:rFonts w:ascii="Times New Roman" w:hAnsi="Times New Roman"/>
        </w:rPr>
        <w:t xml:space="preserve"> администрацией Солдыбаевского сельского </w:t>
      </w:r>
      <w:r>
        <w:rPr>
          <w:rFonts w:ascii="Times New Roman" w:hAnsi="Times New Roman"/>
        </w:rPr>
        <w:t>поселения Козловского района Чувашской Республики, один раз в год не позднее 1 июля года, следующего за отчетным годом.</w:t>
      </w:r>
    </w:p>
    <w:p w:rsidR="00225F1F" w:rsidRDefault="00225F1F" w:rsidP="00225F1F">
      <w:pPr>
        <w:rPr>
          <w:rFonts w:ascii="Times New Roman" w:hAnsi="Times New Roman"/>
        </w:rPr>
      </w:pPr>
      <w:bookmarkStart w:id="4" w:name="sub_133"/>
      <w:bookmarkEnd w:id="3"/>
      <w:r>
        <w:rPr>
          <w:rFonts w:ascii="Times New Roman" w:hAnsi="Times New Roman"/>
        </w:rPr>
        <w:t xml:space="preserve">3. Внесение на рассмотрение </w:t>
      </w:r>
      <w:r w:rsidR="00C6065D">
        <w:rPr>
          <w:rFonts w:ascii="Times New Roman" w:hAnsi="Times New Roman"/>
        </w:rPr>
        <w:t>Собрания депутатов Солдыбаевского сельского</w:t>
      </w:r>
      <w:r>
        <w:rPr>
          <w:rFonts w:ascii="Times New Roman" w:hAnsi="Times New Roman"/>
        </w:rPr>
        <w:t xml:space="preserve"> поселения Козловского района Чувашской Республики проектов решений Собрания </w:t>
      </w:r>
      <w:r w:rsidR="00C6065D">
        <w:rPr>
          <w:rFonts w:ascii="Times New Roman" w:hAnsi="Times New Roman"/>
        </w:rPr>
        <w:t>депутатов Солдыбаевского сельского</w:t>
      </w:r>
      <w:r>
        <w:rPr>
          <w:rFonts w:ascii="Times New Roman" w:hAnsi="Times New Roman"/>
        </w:rPr>
        <w:t xml:space="preserve"> поселения Козловского района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225F1F" w:rsidRDefault="00225F1F" w:rsidP="00225F1F">
      <w:pPr>
        <w:rPr>
          <w:rFonts w:ascii="Times New Roman" w:hAnsi="Times New Roman"/>
        </w:rPr>
      </w:pPr>
      <w:bookmarkStart w:id="5" w:name="sub_134"/>
      <w:bookmarkEnd w:id="4"/>
      <w:r>
        <w:rPr>
          <w:rFonts w:ascii="Times New Roman" w:hAnsi="Times New Roman"/>
        </w:rPr>
        <w:t xml:space="preserve"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</w:t>
      </w:r>
      <w:hyperlink r:id="rId10" w:history="1">
        <w:r>
          <w:rPr>
            <w:rStyle w:val="a9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 о налогах и сборах</w:t>
      </w:r>
      <w:proofErr w:type="gramStart"/>
      <w:r>
        <w:rPr>
          <w:rFonts w:ascii="Times New Roman" w:hAnsi="Times New Roman"/>
        </w:rPr>
        <w:t>."</w:t>
      </w:r>
      <w:proofErr w:type="gramEnd"/>
    </w:p>
    <w:bookmarkEnd w:id="1"/>
    <w:bookmarkEnd w:id="5"/>
    <w:p w:rsidR="00096822" w:rsidRPr="00B832B7" w:rsidRDefault="00225F1F" w:rsidP="00225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 Настоящее Решение </w:t>
      </w:r>
      <w:proofErr w:type="gramStart"/>
      <w:r>
        <w:rPr>
          <w:rFonts w:ascii="Times New Roman" w:hAnsi="Times New Roman"/>
        </w:rPr>
        <w:t xml:space="preserve">вступает в силу  со дня его </w:t>
      </w:r>
      <w:hyperlink r:id="rId11" w:history="1">
        <w:r>
          <w:rPr>
            <w:rStyle w:val="a9"/>
          </w:rPr>
          <w:t>официального опубликования</w:t>
        </w:r>
      </w:hyperlink>
      <w:r>
        <w:rPr>
          <w:rFonts w:ascii="Times New Roman" w:hAnsi="Times New Roman"/>
        </w:rPr>
        <w:t xml:space="preserve"> и распространяется</w:t>
      </w:r>
      <w:proofErr w:type="gramEnd"/>
      <w:r>
        <w:rPr>
          <w:rFonts w:ascii="Times New Roman" w:hAnsi="Times New Roman"/>
        </w:rPr>
        <w:t xml:space="preserve"> на правоотношения, возникшие</w:t>
      </w:r>
      <w:r w:rsidR="005F660E">
        <w:rPr>
          <w:rFonts w:ascii="Times New Roman" w:hAnsi="Times New Roman"/>
        </w:rPr>
        <w:t xml:space="preserve">  с 01.01.2020 года.</w:t>
      </w:r>
    </w:p>
    <w:p w:rsidR="00CD2323" w:rsidRDefault="00CD2323" w:rsidP="006E11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6F58" w:rsidRPr="000C71C5" w:rsidRDefault="00146F58" w:rsidP="006E11F3">
      <w:pPr>
        <w:spacing w:line="240" w:lineRule="auto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46F58" w:rsidRPr="000C71C5" w:rsidRDefault="00146F58" w:rsidP="006E11F3">
      <w:pPr>
        <w:spacing w:line="240" w:lineRule="auto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>Солдыбаевского сельского поселения</w:t>
      </w:r>
    </w:p>
    <w:p w:rsidR="00146F58" w:rsidRPr="000C71C5" w:rsidRDefault="00146F58" w:rsidP="006E11F3">
      <w:pPr>
        <w:spacing w:line="240" w:lineRule="auto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 xml:space="preserve">Козловского района  Чувашской  Республики           </w:t>
      </w:r>
      <w:r w:rsidR="00373E02">
        <w:rPr>
          <w:rFonts w:ascii="Times New Roman" w:hAnsi="Times New Roman"/>
          <w:sz w:val="24"/>
          <w:szCs w:val="24"/>
        </w:rPr>
        <w:t xml:space="preserve">                    Н.С.Романов</w:t>
      </w:r>
    </w:p>
    <w:p w:rsidR="00146F58" w:rsidRPr="000C71C5" w:rsidRDefault="00146F58" w:rsidP="00146F58">
      <w:pPr>
        <w:rPr>
          <w:rFonts w:ascii="Times New Roman" w:hAnsi="Times New Roman"/>
          <w:sz w:val="24"/>
          <w:szCs w:val="24"/>
        </w:rPr>
      </w:pPr>
    </w:p>
    <w:sectPr w:rsidR="00146F58" w:rsidRPr="000C71C5" w:rsidSect="0097680B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1852CB"/>
    <w:multiLevelType w:val="hybridMultilevel"/>
    <w:tmpl w:val="A9A836CC"/>
    <w:lvl w:ilvl="0" w:tplc="6CB4C1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FF56947"/>
    <w:multiLevelType w:val="hybridMultilevel"/>
    <w:tmpl w:val="EB20D454"/>
    <w:lvl w:ilvl="0" w:tplc="F9CCA0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14"/>
    <w:rsid w:val="00013219"/>
    <w:rsid w:val="0001639E"/>
    <w:rsid w:val="00043C01"/>
    <w:rsid w:val="000605E7"/>
    <w:rsid w:val="00096822"/>
    <w:rsid w:val="00096906"/>
    <w:rsid w:val="000A5990"/>
    <w:rsid w:val="000C71C5"/>
    <w:rsid w:val="000E760C"/>
    <w:rsid w:val="00126104"/>
    <w:rsid w:val="00137E24"/>
    <w:rsid w:val="00146F58"/>
    <w:rsid w:val="001B73CD"/>
    <w:rsid w:val="001C45F4"/>
    <w:rsid w:val="00225F1F"/>
    <w:rsid w:val="0023189C"/>
    <w:rsid w:val="00262FEF"/>
    <w:rsid w:val="00275365"/>
    <w:rsid w:val="002F39B3"/>
    <w:rsid w:val="00366ECA"/>
    <w:rsid w:val="00373E02"/>
    <w:rsid w:val="00385C58"/>
    <w:rsid w:val="003B0402"/>
    <w:rsid w:val="003B0B78"/>
    <w:rsid w:val="003C0685"/>
    <w:rsid w:val="004023A5"/>
    <w:rsid w:val="00423494"/>
    <w:rsid w:val="004604C7"/>
    <w:rsid w:val="00477290"/>
    <w:rsid w:val="00485B03"/>
    <w:rsid w:val="00500D2D"/>
    <w:rsid w:val="005750B5"/>
    <w:rsid w:val="00592B38"/>
    <w:rsid w:val="005A6B6C"/>
    <w:rsid w:val="005B75DF"/>
    <w:rsid w:val="005C6CCA"/>
    <w:rsid w:val="005E2C01"/>
    <w:rsid w:val="005E5B00"/>
    <w:rsid w:val="005E71CE"/>
    <w:rsid w:val="005F5B4F"/>
    <w:rsid w:val="005F660E"/>
    <w:rsid w:val="00654B63"/>
    <w:rsid w:val="006631E5"/>
    <w:rsid w:val="00672D02"/>
    <w:rsid w:val="006C106B"/>
    <w:rsid w:val="006D70AE"/>
    <w:rsid w:val="006D7AD9"/>
    <w:rsid w:val="006E11F3"/>
    <w:rsid w:val="006E3851"/>
    <w:rsid w:val="006E75F1"/>
    <w:rsid w:val="00714FCB"/>
    <w:rsid w:val="00755F87"/>
    <w:rsid w:val="00762591"/>
    <w:rsid w:val="007753DB"/>
    <w:rsid w:val="00787819"/>
    <w:rsid w:val="007A5A2A"/>
    <w:rsid w:val="007B2B29"/>
    <w:rsid w:val="007D2C2B"/>
    <w:rsid w:val="007F5957"/>
    <w:rsid w:val="00812915"/>
    <w:rsid w:val="00815C8C"/>
    <w:rsid w:val="00816EBE"/>
    <w:rsid w:val="00825C11"/>
    <w:rsid w:val="008461E3"/>
    <w:rsid w:val="00866B43"/>
    <w:rsid w:val="008879CE"/>
    <w:rsid w:val="00910D60"/>
    <w:rsid w:val="00935DF0"/>
    <w:rsid w:val="00950114"/>
    <w:rsid w:val="0097680B"/>
    <w:rsid w:val="009773CA"/>
    <w:rsid w:val="00980EB3"/>
    <w:rsid w:val="00A128FF"/>
    <w:rsid w:val="00A40BBF"/>
    <w:rsid w:val="00A72D91"/>
    <w:rsid w:val="00A95B52"/>
    <w:rsid w:val="00AA2E00"/>
    <w:rsid w:val="00AB0C96"/>
    <w:rsid w:val="00AB284C"/>
    <w:rsid w:val="00AD6D7B"/>
    <w:rsid w:val="00AE3142"/>
    <w:rsid w:val="00AF7AD3"/>
    <w:rsid w:val="00B53ACD"/>
    <w:rsid w:val="00B71337"/>
    <w:rsid w:val="00B832B7"/>
    <w:rsid w:val="00B911DB"/>
    <w:rsid w:val="00BB0894"/>
    <w:rsid w:val="00BC1754"/>
    <w:rsid w:val="00BD645C"/>
    <w:rsid w:val="00BE6484"/>
    <w:rsid w:val="00C41760"/>
    <w:rsid w:val="00C6065D"/>
    <w:rsid w:val="00CD137C"/>
    <w:rsid w:val="00CD2323"/>
    <w:rsid w:val="00CF4396"/>
    <w:rsid w:val="00D316DF"/>
    <w:rsid w:val="00D35894"/>
    <w:rsid w:val="00D56F4C"/>
    <w:rsid w:val="00D75272"/>
    <w:rsid w:val="00D76D06"/>
    <w:rsid w:val="00DD499F"/>
    <w:rsid w:val="00E136D6"/>
    <w:rsid w:val="00E42439"/>
    <w:rsid w:val="00E42F6D"/>
    <w:rsid w:val="00E64D4F"/>
    <w:rsid w:val="00E70869"/>
    <w:rsid w:val="00E815FF"/>
    <w:rsid w:val="00E83D2F"/>
    <w:rsid w:val="00EA475B"/>
    <w:rsid w:val="00EC29DF"/>
    <w:rsid w:val="00EF3695"/>
    <w:rsid w:val="00F66DF4"/>
    <w:rsid w:val="00F86575"/>
    <w:rsid w:val="00F90364"/>
    <w:rsid w:val="00F91BE7"/>
    <w:rsid w:val="00F96DE3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3D2F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83D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3D2F"/>
    <w:rPr>
      <w:b/>
      <w:bCs/>
      <w:color w:val="000080"/>
    </w:rPr>
  </w:style>
  <w:style w:type="paragraph" w:styleId="3">
    <w:name w:val="Body Text 3"/>
    <w:basedOn w:val="a"/>
    <w:link w:val="30"/>
    <w:semiHidden/>
    <w:unhideWhenUsed/>
    <w:rsid w:val="0042349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423494"/>
    <w:rPr>
      <w:rFonts w:ascii="Times New Roman" w:hAnsi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423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96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6DE3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6D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6DE3"/>
    <w:rPr>
      <w:sz w:val="22"/>
      <w:szCs w:val="22"/>
    </w:rPr>
  </w:style>
  <w:style w:type="paragraph" w:customStyle="1" w:styleId="ConsNormal">
    <w:name w:val="ConsNormal"/>
    <w:rsid w:val="00F96D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62FE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6E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E3851"/>
  </w:style>
  <w:style w:type="character" w:customStyle="1" w:styleId="apple-converted-space">
    <w:name w:val="apple-converted-space"/>
    <w:basedOn w:val="a0"/>
    <w:rsid w:val="006E3851"/>
  </w:style>
  <w:style w:type="paragraph" w:customStyle="1" w:styleId="formattext">
    <w:name w:val="formattext"/>
    <w:basedOn w:val="a"/>
    <w:rsid w:val="00E7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95B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5B52"/>
    <w:rPr>
      <w:sz w:val="22"/>
      <w:szCs w:val="22"/>
    </w:rPr>
  </w:style>
  <w:style w:type="paragraph" w:customStyle="1" w:styleId="a8">
    <w:name w:val="Заголовок статьи"/>
    <w:basedOn w:val="a"/>
    <w:next w:val="a"/>
    <w:rsid w:val="00146F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F58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semiHidden/>
    <w:unhideWhenUsed/>
    <w:rsid w:val="000C71C5"/>
    <w:rPr>
      <w:color w:val="0000FF"/>
      <w:u w:val="single"/>
    </w:rPr>
  </w:style>
  <w:style w:type="paragraph" w:customStyle="1" w:styleId="s1">
    <w:name w:val="s_1"/>
    <w:basedOn w:val="a"/>
    <w:rsid w:val="00096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554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/" TargetMode="External"/><Relationship Id="rId11" Type="http://schemas.openxmlformats.org/officeDocument/2006/relationships/hyperlink" Target="garantf1://48670155.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800200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2. Р А З М Е Р Ы ежемесячных выплат за классный чин муниципаль</vt:lpstr>
    </vt:vector>
  </TitlesOfParts>
  <Company>Grizli777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2016-08-03T07:30:00Z</cp:lastPrinted>
  <dcterms:created xsi:type="dcterms:W3CDTF">2020-01-17T11:32:00Z</dcterms:created>
  <dcterms:modified xsi:type="dcterms:W3CDTF">2020-02-10T13:01:00Z</dcterms:modified>
</cp:coreProperties>
</file>