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C" w:rsidRDefault="002025DC" w:rsidP="002025DC">
      <w:pPr>
        <w:pStyle w:val="a5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2025DC" w:rsidRDefault="002025DC" w:rsidP="002025DC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2025DC" w:rsidTr="00BB55AA">
        <w:trPr>
          <w:cantSplit/>
          <w:trHeight w:val="420"/>
        </w:trPr>
        <w:tc>
          <w:tcPr>
            <w:tcW w:w="4106" w:type="dxa"/>
          </w:tcPr>
          <w:p w:rsidR="002025DC" w:rsidRDefault="002025DC" w:rsidP="00BB55AA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2025DC" w:rsidRDefault="002025DC" w:rsidP="00BB55AA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2025DC" w:rsidRDefault="002025DC" w:rsidP="00BB55AA">
            <w:pPr>
              <w:snapToGrid w:val="0"/>
              <w:jc w:val="center"/>
            </w:pPr>
          </w:p>
        </w:tc>
        <w:tc>
          <w:tcPr>
            <w:tcW w:w="4124" w:type="dxa"/>
          </w:tcPr>
          <w:p w:rsidR="002025DC" w:rsidRDefault="002025DC" w:rsidP="00BB55AA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2025DC" w:rsidRDefault="002025DC" w:rsidP="00BB55AA">
            <w:pPr>
              <w:pStyle w:val="a8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2025DC" w:rsidRDefault="002025DC" w:rsidP="00BB55AA">
            <w:pPr>
              <w:pStyle w:val="a8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2025DC" w:rsidTr="00BB55AA">
        <w:trPr>
          <w:cantSplit/>
          <w:trHeight w:val="1566"/>
        </w:trPr>
        <w:tc>
          <w:tcPr>
            <w:tcW w:w="4106" w:type="dxa"/>
          </w:tcPr>
          <w:p w:rsidR="002025DC" w:rsidRDefault="002025DC" w:rsidP="00BB55AA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</w:pP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</w:pPr>
            <w:r>
              <w:rPr>
                <w:rStyle w:val="aa"/>
                <w:rFonts w:eastAsiaTheme="majorEastAsia"/>
              </w:rPr>
              <w:t>ПОСТАНОВЛЕНИЕ</w:t>
            </w: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</w:pP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02.12.2020  № 74 </w:t>
            </w:r>
          </w:p>
          <w:p w:rsidR="002025DC" w:rsidRDefault="002025DC" w:rsidP="00BB55AA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2025DC" w:rsidRDefault="002025DC" w:rsidP="00BB55AA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2025DC" w:rsidRDefault="002025DC" w:rsidP="00BB55AA">
            <w:pPr>
              <w:pStyle w:val="a8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2025DC" w:rsidRDefault="002025DC" w:rsidP="00BB55AA">
            <w:pPr>
              <w:pStyle w:val="a8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2025DC" w:rsidRDefault="002025DC" w:rsidP="00BB55AA">
            <w:pPr>
              <w:jc w:val="center"/>
              <w:rPr>
                <w:lang w:eastAsia="ru-RU"/>
              </w:rPr>
            </w:pPr>
            <w:r>
              <w:rPr>
                <w:rStyle w:val="a9"/>
                <w:color w:val="000000"/>
              </w:rPr>
              <w:t>АДМИНИСТРАЦИЙĔ</w:t>
            </w:r>
          </w:p>
          <w:p w:rsidR="002025DC" w:rsidRDefault="002025DC" w:rsidP="00BB55AA">
            <w:pPr>
              <w:spacing w:line="192" w:lineRule="auto"/>
              <w:jc w:val="center"/>
            </w:pPr>
          </w:p>
          <w:p w:rsidR="002025DC" w:rsidRDefault="002025DC" w:rsidP="00BB55AA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2025DC" w:rsidRDefault="002025DC" w:rsidP="00BB55AA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02.12.2020  74 № </w:t>
            </w:r>
          </w:p>
          <w:p w:rsidR="002025DC" w:rsidRDefault="002025DC" w:rsidP="00BB55AA">
            <w:pPr>
              <w:jc w:val="center"/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</w:tc>
      </w:tr>
    </w:tbl>
    <w:p w:rsidR="002025DC" w:rsidRPr="00C31949" w:rsidRDefault="002025DC" w:rsidP="002025DC">
      <w:pPr>
        <w:pStyle w:val="a5"/>
        <w:tabs>
          <w:tab w:val="left" w:pos="4253"/>
        </w:tabs>
        <w:spacing w:after="0"/>
        <w:ind w:right="5244"/>
        <w:jc w:val="both"/>
      </w:pPr>
      <w:r w:rsidRPr="00F552A5">
        <w:t xml:space="preserve">О внесении изменений в постановление администрации Кульгешского сельского поселения от 18.12.2017 № 59 «Об утверждении Административного регламента администрации </w:t>
      </w:r>
      <w:r w:rsidRPr="00C31949">
        <w:t xml:space="preserve">Кульгешского сельского поселения по предоставлению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строительство»» </w:t>
      </w:r>
    </w:p>
    <w:p w:rsidR="002025DC" w:rsidRPr="00C31949" w:rsidRDefault="002025DC" w:rsidP="002025DC">
      <w:pPr>
        <w:ind w:right="5400"/>
        <w:rPr>
          <w:rFonts w:asciiTheme="minorHAnsi" w:hAnsiTheme="minorHAnsi"/>
        </w:rPr>
      </w:pPr>
    </w:p>
    <w:p w:rsidR="002025DC" w:rsidRPr="00C31949" w:rsidRDefault="002025DC" w:rsidP="002025DC">
      <w:pPr>
        <w:ind w:firstLine="709"/>
      </w:pPr>
      <w:r w:rsidRPr="00C31949">
        <w:t xml:space="preserve"> В соответствии с Градостроительным кодексом Российской Федерации, Федеральным законом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администрация Кульгешского сельского поселения Урмарского района </w:t>
      </w:r>
      <w:proofErr w:type="spellStart"/>
      <w:proofErr w:type="gramStart"/>
      <w:r w:rsidRPr="00C31949">
        <w:t>п</w:t>
      </w:r>
      <w:proofErr w:type="spellEnd"/>
      <w:proofErr w:type="gramEnd"/>
      <w:r w:rsidRPr="00C31949">
        <w:t xml:space="preserve"> о с т а </w:t>
      </w:r>
      <w:proofErr w:type="spellStart"/>
      <w:r w:rsidRPr="00C31949">
        <w:t>н</w:t>
      </w:r>
      <w:proofErr w:type="spellEnd"/>
      <w:r w:rsidRPr="00C31949">
        <w:t xml:space="preserve"> о в л я е т:</w:t>
      </w:r>
    </w:p>
    <w:p w:rsidR="002025DC" w:rsidRPr="00C31949" w:rsidRDefault="002025DC" w:rsidP="002025DC">
      <w:pPr>
        <w:ind w:firstLine="709"/>
      </w:pPr>
      <w:r w:rsidRPr="00C31949">
        <w:t>1. Внести в Административный регламент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строительство», утвержденный постановлением администрации Кульгешского сельского поселения Урмарского района от 18.12.2017 № 59 следующие изменения:</w:t>
      </w:r>
    </w:p>
    <w:p w:rsidR="002025DC" w:rsidRPr="00C31949" w:rsidRDefault="002025DC" w:rsidP="002025DC">
      <w:pPr>
        <w:ind w:firstLine="709"/>
      </w:pPr>
      <w:r w:rsidRPr="00C31949">
        <w:t>1) пункт 2.6 изложить в следующей редакции:</w:t>
      </w:r>
    </w:p>
    <w:p w:rsidR="002025DC" w:rsidRPr="00C31949" w:rsidRDefault="002025DC" w:rsidP="002025DC">
      <w:pPr>
        <w:ind w:firstLine="709"/>
        <w:rPr>
          <w:b/>
        </w:rPr>
      </w:pPr>
      <w:r w:rsidRPr="00C31949">
        <w:t>«</w:t>
      </w:r>
      <w:r w:rsidRPr="00C31949">
        <w:rPr>
          <w:b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r w:rsidRPr="00C31949">
        <w:t xml:space="preserve">2.6.1. В целях получения разрешения на строительство в случаях строительства, реконструкции объекта капитального строительства заявитель направляет в администрацию Кульгешского сельского поселения Урмарского района заявление о выдаче разрешения на строительство, оформленное в соответствии с  приложением № 2 к Административному регламенту. 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bookmarkStart w:id="0" w:name="p_126"/>
      <w:bookmarkEnd w:id="0"/>
      <w:r w:rsidRPr="00C31949">
        <w:t xml:space="preserve">К заявлению прилагаются следующие документы: </w:t>
      </w:r>
      <w:bookmarkStart w:id="1" w:name="p_127"/>
      <w:bookmarkEnd w:id="1"/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proofErr w:type="gramStart"/>
      <w:r w:rsidRPr="00C31949">
        <w:t>1) правоустанавливающие документы на земельн</w:t>
      </w:r>
      <w:bookmarkStart w:id="2" w:name="p_128"/>
      <w:bookmarkStart w:id="3" w:name="entry_2611"/>
      <w:bookmarkEnd w:id="2"/>
      <w:bookmarkEnd w:id="3"/>
      <w:r w:rsidRPr="00C31949">
        <w:t xml:space="preserve">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</w:t>
      </w:r>
      <w:r w:rsidRPr="00C31949">
        <w:lastRenderedPageBreak/>
        <w:t xml:space="preserve">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" w:anchor="/document/12138258/entry/573011" w:history="1">
        <w:r w:rsidRPr="00C31949">
          <w:rPr>
            <w:rStyle w:val="a3"/>
          </w:rPr>
          <w:t>частью 1.1 статьи 57.3</w:t>
        </w:r>
      </w:hyperlink>
      <w:r w:rsidRPr="00C31949">
        <w:t xml:space="preserve"> Градостроительного кодекса Российской Федерации, если иное не установлено</w:t>
      </w:r>
      <w:proofErr w:type="gramEnd"/>
      <w:r w:rsidRPr="00C31949">
        <w:t xml:space="preserve"> </w:t>
      </w:r>
      <w:hyperlink r:id="rId6" w:anchor="/document/12138258/entry/5173" w:history="1">
        <w:r w:rsidRPr="00C31949">
          <w:rPr>
            <w:rStyle w:val="a3"/>
          </w:rPr>
          <w:t>частью 7.3 статьи 51</w:t>
        </w:r>
      </w:hyperlink>
      <w:r w:rsidRPr="00C31949">
        <w:t xml:space="preserve"> Градостроительного кодекса Российской Федерации;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proofErr w:type="gramStart"/>
      <w:r w:rsidRPr="00C31949">
        <w:rPr>
          <w:rFonts w:eastAsia="quot" w:cs="quot"/>
        </w:rPr>
        <w:t xml:space="preserve">2) при наличии соглашения о передаче в случаях, установленных </w:t>
      </w:r>
      <w:hyperlink r:id="rId7" w:anchor="/document/12112604/entry/2" w:history="1">
        <w:r w:rsidRPr="00C31949">
          <w:rPr>
            <w:rStyle w:val="a3"/>
          </w:rPr>
          <w:t>бюджетным законодательством</w:t>
        </w:r>
      </w:hyperlink>
      <w:r w:rsidRPr="00C31949">
        <w:rPr>
          <w:rFonts w:eastAsia="quot" w:cs="quot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31949">
        <w:rPr>
          <w:rFonts w:eastAsia="quot" w:cs="quot"/>
        </w:rPr>
        <w:t>Росатом</w:t>
      </w:r>
      <w:proofErr w:type="spellEnd"/>
      <w:r w:rsidRPr="00C31949">
        <w:rPr>
          <w:rFonts w:eastAsia="quot" w:cs="quot"/>
        </w:rPr>
        <w:t>", Государственной корпорацией по космической деятельности "</w:t>
      </w:r>
      <w:proofErr w:type="spellStart"/>
      <w:r w:rsidRPr="00C31949">
        <w:rPr>
          <w:rFonts w:eastAsia="quot" w:cs="quot"/>
        </w:rPr>
        <w:t>Роскосмос</w:t>
      </w:r>
      <w:proofErr w:type="spellEnd"/>
      <w:r w:rsidRPr="00C31949">
        <w:rPr>
          <w:rFonts w:eastAsia="quot" w:cs="quot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31949">
        <w:rPr>
          <w:rFonts w:eastAsia="quot" w:cs="quot"/>
        </w:rPr>
        <w:t xml:space="preserve"> соглашение;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4" w:name="p_129"/>
      <w:bookmarkStart w:id="5" w:name="entry_2612"/>
      <w:bookmarkEnd w:id="4"/>
      <w:bookmarkEnd w:id="5"/>
      <w:proofErr w:type="gramStart"/>
      <w:r w:rsidRPr="00C31949">
        <w:rPr>
          <w:rFonts w:eastAsia="quot" w:cs="quot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C31949">
        <w:rPr>
          <w:rFonts w:eastAsia="quot" w:cs="quot"/>
        </w:rPr>
        <w:t xml:space="preserve"> </w:t>
      </w:r>
      <w:proofErr w:type="gramStart"/>
      <w:r w:rsidRPr="00C31949">
        <w:rPr>
          <w:rFonts w:eastAsia="quot" w:cs="quot"/>
        </w:rPr>
        <w:t>случае</w:t>
      </w:r>
      <w:proofErr w:type="gramEnd"/>
      <w:r w:rsidRPr="00C31949">
        <w:rPr>
          <w:rFonts w:eastAsia="quot" w:cs="quot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bookmarkStart w:id="6" w:name="p_130"/>
      <w:bookmarkStart w:id="7" w:name="entry_2613"/>
      <w:bookmarkEnd w:id="6"/>
      <w:bookmarkEnd w:id="7"/>
      <w:r w:rsidRPr="00C31949">
        <w:rPr>
          <w:rFonts w:eastAsia="quot" w:cs="quot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8" w:anchor="/document/12138258/entry/48015" w:history="1">
        <w:r w:rsidRPr="00C31949">
          <w:rPr>
            <w:rStyle w:val="a3"/>
          </w:rPr>
          <w:t>частью 15 статьи 48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 проектной документации: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8" w:name="p_131"/>
      <w:bookmarkStart w:id="9" w:name="entry_2614"/>
      <w:bookmarkEnd w:id="8"/>
      <w:bookmarkEnd w:id="9"/>
      <w:r w:rsidRPr="00C31949">
        <w:t>а) пояснительная записка;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10" w:name="p_132"/>
      <w:bookmarkStart w:id="11" w:name="entry_26141"/>
      <w:bookmarkEnd w:id="10"/>
      <w:bookmarkEnd w:id="11"/>
      <w:proofErr w:type="gramStart"/>
      <w:r w:rsidRPr="00C31949">
        <w:rPr>
          <w:rFonts w:eastAsia="quot" w:cs="quot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12" w:name="p_133"/>
      <w:bookmarkStart w:id="13" w:name="entry_26142"/>
      <w:bookmarkEnd w:id="12"/>
      <w:bookmarkEnd w:id="13"/>
      <w:proofErr w:type="gramStart"/>
      <w:r w:rsidRPr="00C31949">
        <w:rPr>
          <w:rFonts w:eastAsia="quot" w:cs="quot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14" w:name="p_134"/>
      <w:bookmarkStart w:id="15" w:name="entry_26143"/>
      <w:bookmarkEnd w:id="14"/>
      <w:bookmarkEnd w:id="15"/>
      <w:r w:rsidRPr="00C31949">
        <w:rPr>
          <w:rFonts w:eastAsia="quot" w:cs="quot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16" w:name="p_135"/>
      <w:bookmarkStart w:id="17" w:name="entry_26144"/>
      <w:bookmarkEnd w:id="16"/>
      <w:bookmarkEnd w:id="17"/>
      <w:proofErr w:type="gramStart"/>
      <w:r w:rsidRPr="00C31949">
        <w:rPr>
          <w:rFonts w:eastAsia="quot" w:cs="quot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9" w:anchor="/document/12138258/entry/4951" w:history="1">
        <w:r w:rsidRPr="00C31949">
          <w:rPr>
            <w:rStyle w:val="a3"/>
          </w:rPr>
          <w:t>пункте 1 части 5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C31949">
        <w:rPr>
          <w:rFonts w:eastAsia="quot" w:cs="quot"/>
        </w:rPr>
        <w:t xml:space="preserve"> </w:t>
      </w:r>
      <w:proofErr w:type="gramStart"/>
      <w:r w:rsidRPr="00C31949">
        <w:rPr>
          <w:rFonts w:eastAsia="quot" w:cs="quot"/>
        </w:rPr>
        <w:t xml:space="preserve">случае, предусмотренном </w:t>
      </w:r>
      <w:hyperlink r:id="rId10" w:anchor="/document/12138258/entry/48121" w:history="1">
        <w:r w:rsidRPr="00C31949">
          <w:rPr>
            <w:rStyle w:val="a3"/>
          </w:rPr>
          <w:t>частью 12.1 статьи 48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1" w:anchor="/document/12138258/entry/49" w:history="1">
        <w:r w:rsidRPr="00C31949">
          <w:rPr>
            <w:rStyle w:val="a3"/>
          </w:rPr>
          <w:t>статьей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Федерации, положительное заключение </w:t>
      </w:r>
      <w:r w:rsidRPr="00C31949">
        <w:rPr>
          <w:rFonts w:eastAsia="quot" w:cs="quot"/>
        </w:rPr>
        <w:lastRenderedPageBreak/>
        <w:t xml:space="preserve">государственной экспертизы проектной документации в случаях, предусмотренных </w:t>
      </w:r>
      <w:hyperlink r:id="rId12" w:anchor="/document/12138258/entry/4934" w:history="1">
        <w:r w:rsidRPr="00C31949">
          <w:rPr>
            <w:rStyle w:val="a3"/>
          </w:rPr>
          <w:t>частью 3.4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3" w:anchor="/document/12138258/entry/4906" w:history="1">
        <w:r w:rsidRPr="00C31949">
          <w:rPr>
            <w:rStyle w:val="a3"/>
          </w:rPr>
          <w:t>частью 6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Федерации;</w:t>
      </w:r>
      <w:proofErr w:type="gramEnd"/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18" w:name="p_136"/>
      <w:bookmarkStart w:id="19" w:name="entry_2615"/>
      <w:bookmarkEnd w:id="18"/>
      <w:bookmarkEnd w:id="19"/>
      <w:proofErr w:type="gramStart"/>
      <w:r w:rsidRPr="00C31949">
        <w:rPr>
          <w:rFonts w:eastAsia="quot" w:cs="quot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14" w:anchor="/document/12138258/entry/4938" w:history="1">
        <w:r w:rsidRPr="00C31949">
          <w:rPr>
            <w:rStyle w:val="a3"/>
          </w:rPr>
          <w:t>части 3.8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Федерации, предоставленное лицом, являющимся членом </w:t>
      </w:r>
      <w:proofErr w:type="spellStart"/>
      <w:r w:rsidRPr="00C31949">
        <w:rPr>
          <w:rFonts w:eastAsia="quot" w:cs="quot"/>
        </w:rPr>
        <w:t>саморегулируемой</w:t>
      </w:r>
      <w:proofErr w:type="spellEnd"/>
      <w:r w:rsidRPr="00C31949">
        <w:rPr>
          <w:rFonts w:eastAsia="quot" w:cs="quot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C31949">
        <w:rPr>
          <w:rFonts w:eastAsia="quot" w:cs="quot"/>
        </w:rPr>
        <w:t xml:space="preserve"> проектную документацию в соответствии с </w:t>
      </w:r>
      <w:hyperlink r:id="rId15" w:anchor="/document/12138258/entry/4938" w:history="1">
        <w:r w:rsidRPr="00C31949">
          <w:rPr>
            <w:rStyle w:val="a3"/>
          </w:rPr>
          <w:t>частью 3.8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20" w:name="p_137"/>
      <w:bookmarkStart w:id="21" w:name="entry_2616"/>
      <w:bookmarkEnd w:id="20"/>
      <w:bookmarkEnd w:id="21"/>
      <w:proofErr w:type="gramStart"/>
      <w:r w:rsidRPr="00C31949">
        <w:rPr>
          <w:rFonts w:eastAsia="quot" w:cs="quot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16" w:anchor="/document/12138258/entry/4939" w:history="1">
        <w:r w:rsidRPr="00C31949">
          <w:rPr>
            <w:rStyle w:val="a3"/>
          </w:rPr>
          <w:t>части 3.9 статьи 49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22" w:name="p_138"/>
      <w:bookmarkStart w:id="23" w:name="entry_2617"/>
      <w:bookmarkEnd w:id="22"/>
      <w:bookmarkEnd w:id="23"/>
      <w:r w:rsidRPr="00C31949">
        <w:rPr>
          <w:rFonts w:eastAsia="quot" w:cs="quot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anchor="/document/12138258/entry/40" w:history="1">
        <w:r w:rsidRPr="00C31949">
          <w:rPr>
            <w:rStyle w:val="a3"/>
          </w:rPr>
          <w:t>статьей 40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Федерации);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24" w:name="p_139"/>
      <w:bookmarkStart w:id="25" w:name="entry_2618"/>
      <w:bookmarkEnd w:id="24"/>
      <w:bookmarkEnd w:id="25"/>
      <w:r w:rsidRPr="00C31949">
        <w:rPr>
          <w:rFonts w:eastAsia="quot" w:cs="quot"/>
        </w:rPr>
        <w:t xml:space="preserve">9)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8" w:anchor="/document/12138258/entry/510762" w:history="1">
        <w:r w:rsidRPr="00C31949">
          <w:rPr>
            <w:rStyle w:val="a3"/>
          </w:rPr>
          <w:t>пункте 6.2 части 7 статьи 51</w:t>
        </w:r>
      </w:hyperlink>
      <w:r w:rsidRPr="00C31949">
        <w:rPr>
          <w:rFonts w:eastAsia="quot" w:cs="quot"/>
        </w:rPr>
        <w:t xml:space="preserve"> Градостроительного кодекса Российской Федерации случаев реконструкции многоквартирного дома;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26" w:name="p_140"/>
      <w:bookmarkStart w:id="27" w:name="entry_2619"/>
      <w:bookmarkEnd w:id="26"/>
      <w:bookmarkEnd w:id="27"/>
      <w:proofErr w:type="gramStart"/>
      <w:r w:rsidRPr="00C31949">
        <w:rPr>
          <w:rFonts w:eastAsia="quot" w:cs="quot"/>
        </w:rPr>
        <w:t>10)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31949">
        <w:rPr>
          <w:rFonts w:eastAsia="quot" w:cs="quot"/>
        </w:rPr>
        <w:t>Росатом</w:t>
      </w:r>
      <w:proofErr w:type="spellEnd"/>
      <w:r w:rsidRPr="00C31949">
        <w:rPr>
          <w:rFonts w:eastAsia="quot" w:cs="quot"/>
        </w:rPr>
        <w:t>", Государственной корпорацией по космической деятельности "</w:t>
      </w:r>
      <w:proofErr w:type="spellStart"/>
      <w:r w:rsidRPr="00C31949">
        <w:rPr>
          <w:rFonts w:eastAsia="quot" w:cs="quot"/>
        </w:rPr>
        <w:t>Роскосмос</w:t>
      </w:r>
      <w:proofErr w:type="spellEnd"/>
      <w:r w:rsidRPr="00C31949">
        <w:rPr>
          <w:rFonts w:eastAsia="quot" w:cs="quot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C31949">
        <w:rPr>
          <w:rFonts w:eastAsia="quot" w:cs="quot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31949">
        <w:rPr>
          <w:rFonts w:eastAsia="quot" w:cs="quot"/>
        </w:rPr>
        <w:t>определяющее</w:t>
      </w:r>
      <w:proofErr w:type="gramEnd"/>
      <w:r w:rsidRPr="00C31949">
        <w:rPr>
          <w:rFonts w:eastAsia="quot" w:cs="quot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28" w:name="p_141"/>
      <w:bookmarkStart w:id="29" w:name="entry_26110"/>
      <w:bookmarkEnd w:id="28"/>
      <w:bookmarkEnd w:id="29"/>
      <w:r w:rsidRPr="00C31949">
        <w:rPr>
          <w:rFonts w:eastAsia="quot" w:cs="quot"/>
        </w:rPr>
        <w:t xml:space="preserve">11) решение общего собрания собственников помещений и </w:t>
      </w:r>
      <w:proofErr w:type="spellStart"/>
      <w:r w:rsidRPr="00C31949">
        <w:rPr>
          <w:rFonts w:eastAsia="quot" w:cs="quot"/>
        </w:rPr>
        <w:t>машино-мест</w:t>
      </w:r>
      <w:proofErr w:type="spellEnd"/>
      <w:r w:rsidRPr="00C31949">
        <w:rPr>
          <w:rFonts w:eastAsia="quot" w:cs="quot"/>
        </w:rPr>
        <w:t xml:space="preserve"> в многоквартирном доме, принятое в соответствии с </w:t>
      </w:r>
      <w:hyperlink r:id="rId19" w:anchor="/document/12138291/entry/5" w:history="1">
        <w:r w:rsidRPr="00C31949">
          <w:rPr>
            <w:rStyle w:val="a3"/>
          </w:rPr>
          <w:t>жилищным законодательством</w:t>
        </w:r>
      </w:hyperlink>
      <w:r w:rsidRPr="00C31949">
        <w:rPr>
          <w:rFonts w:eastAsia="quot" w:cs="quot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31949">
        <w:rPr>
          <w:rFonts w:eastAsia="quot" w:cs="quot"/>
        </w:rPr>
        <w:t>машино-мест</w:t>
      </w:r>
      <w:proofErr w:type="spellEnd"/>
      <w:r w:rsidRPr="00C31949">
        <w:rPr>
          <w:rFonts w:eastAsia="quot" w:cs="quot"/>
        </w:rPr>
        <w:t xml:space="preserve"> в многоквартирном доме;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30" w:name="p_142"/>
      <w:bookmarkStart w:id="31" w:name="entry_26111"/>
      <w:bookmarkEnd w:id="30"/>
      <w:bookmarkEnd w:id="31"/>
      <w:r w:rsidRPr="00C31949">
        <w:rPr>
          <w:rFonts w:eastAsia="quot" w:cs="quot"/>
        </w:rPr>
        <w:t>12)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32" w:name="p_143"/>
      <w:bookmarkStart w:id="33" w:name="entry_26112"/>
      <w:bookmarkEnd w:id="32"/>
      <w:bookmarkEnd w:id="33"/>
      <w:r w:rsidRPr="00C31949">
        <w:rPr>
          <w:rFonts w:eastAsia="quot" w:cs="quot"/>
        </w:rPr>
        <w:t xml:space="preserve">13) документы, предусмотренные </w:t>
      </w:r>
      <w:hyperlink r:id="rId20" w:anchor="/document/12127232/entry/0" w:history="1">
        <w:r w:rsidRPr="00C31949">
          <w:rPr>
            <w:rStyle w:val="a3"/>
          </w:rPr>
          <w:t>законодательством</w:t>
        </w:r>
      </w:hyperlink>
      <w:r w:rsidRPr="00C31949">
        <w:rPr>
          <w:rFonts w:eastAsia="quot" w:cs="quot"/>
        </w:rPr>
        <w:t xml:space="preserve"> Российской Федерации об объектах культурного наследия, в случае, если при проведении работ по сохранению </w:t>
      </w:r>
      <w:r w:rsidRPr="00C31949">
        <w:rPr>
          <w:rFonts w:eastAsia="quot" w:cs="quot"/>
        </w:rPr>
        <w:lastRenderedPageBreak/>
        <w:t>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025DC" w:rsidRPr="00C31949" w:rsidRDefault="002025DC" w:rsidP="002025DC">
      <w:pPr>
        <w:pStyle w:val="a6"/>
        <w:spacing w:after="0"/>
        <w:ind w:firstLine="709"/>
        <w:jc w:val="both"/>
        <w:rPr>
          <w:rFonts w:eastAsia="quot" w:cs="quot"/>
        </w:rPr>
      </w:pPr>
      <w:bookmarkStart w:id="34" w:name="p_144"/>
      <w:bookmarkStart w:id="35" w:name="entry_26113"/>
      <w:bookmarkEnd w:id="34"/>
      <w:bookmarkEnd w:id="35"/>
      <w:proofErr w:type="gramStart"/>
      <w:r w:rsidRPr="00C31949">
        <w:rPr>
          <w:rFonts w:eastAsia="quot" w:cs="quot"/>
        </w:rPr>
        <w:t>14)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31949">
        <w:rPr>
          <w:rFonts w:eastAsia="quot" w:cs="quot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bookmarkStart w:id="36" w:name="p_145"/>
      <w:bookmarkStart w:id="37" w:name="entry_26114"/>
      <w:bookmarkEnd w:id="36"/>
      <w:bookmarkEnd w:id="37"/>
      <w:proofErr w:type="gramStart"/>
      <w:r w:rsidRPr="00C31949">
        <w:rPr>
          <w:rFonts w:eastAsia="quot" w:cs="quot"/>
        </w:rPr>
        <w:t>15)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2025DC" w:rsidRPr="00C31949" w:rsidRDefault="002025DC" w:rsidP="002025DC">
      <w:pPr>
        <w:pStyle w:val="a6"/>
        <w:spacing w:after="0"/>
        <w:ind w:firstLine="709"/>
        <w:jc w:val="both"/>
      </w:pPr>
      <w:bookmarkStart w:id="38" w:name="p_146"/>
      <w:bookmarkStart w:id="39" w:name="entry_26115"/>
      <w:bookmarkEnd w:id="38"/>
      <w:bookmarkEnd w:id="39"/>
      <w:r w:rsidRPr="00C31949">
        <w:t xml:space="preserve">2.6.2.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21" w:anchor="_blank" w:history="1">
        <w:r w:rsidRPr="00C31949">
          <w:rPr>
            <w:rStyle w:val="a3"/>
          </w:rPr>
          <w:t>Единого портала</w:t>
        </w:r>
      </w:hyperlink>
      <w:r w:rsidRPr="00C31949">
        <w:t xml:space="preserve"> государственных и муниципальных услуг. 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r w:rsidRPr="00C31949">
        <w:t xml:space="preserve">2.6.3. 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2" w:anchor="/document/12184522/entry/0" w:history="1">
        <w:r w:rsidRPr="00C31949">
          <w:rPr>
            <w:rStyle w:val="a3"/>
          </w:rPr>
          <w:t>Федерального закона</w:t>
        </w:r>
      </w:hyperlink>
      <w:r w:rsidRPr="00C31949">
        <w:t xml:space="preserve"> от 06.04.2011 № 63-ФЗ «Об электронной подписи» и </w:t>
      </w:r>
      <w:hyperlink r:id="rId23" w:anchor="/document/12177515/entry/2110" w:history="1">
        <w:r w:rsidRPr="00C31949">
          <w:rPr>
            <w:rStyle w:val="a3"/>
          </w:rPr>
          <w:t>статьями 21.1</w:t>
        </w:r>
      </w:hyperlink>
      <w:r w:rsidRPr="00C31949">
        <w:t xml:space="preserve"> и </w:t>
      </w:r>
      <w:hyperlink r:id="rId24" w:anchor="/document/12177515/entry/2120" w:history="1">
        <w:r w:rsidRPr="00C31949">
          <w:rPr>
            <w:rStyle w:val="a3"/>
          </w:rPr>
          <w:t>21.2</w:t>
        </w:r>
      </w:hyperlink>
      <w:r w:rsidRPr="00C31949">
        <w:t xml:space="preserve"> Федерального закона № 210-ФЗ «Об организации предоставления государственных и муниципальных услуг».</w:t>
      </w:r>
    </w:p>
    <w:p w:rsidR="002025DC" w:rsidRPr="00C31949" w:rsidRDefault="002025DC" w:rsidP="002025DC">
      <w:pPr>
        <w:pStyle w:val="a6"/>
        <w:spacing w:after="0"/>
        <w:ind w:firstLine="709"/>
        <w:jc w:val="both"/>
      </w:pPr>
      <w:r w:rsidRPr="00C31949">
        <w:t>2.6.4. В целях продления срока действия разрешения на строительство заявитель представляет в администрацию Кульгешского сельского поселения Урмарского района заявление, оформленное в соответствии с приложением № 4 к настоящему Административному регламенту и подлинник разрешения на строительство.</w:t>
      </w:r>
    </w:p>
    <w:p w:rsidR="002025DC" w:rsidRPr="00C31949" w:rsidRDefault="002025DC" w:rsidP="002025DC">
      <w:pPr>
        <w:ind w:firstLine="709"/>
      </w:pPr>
      <w:r w:rsidRPr="00C31949">
        <w:t>2.6.5. В случае</w:t>
      </w:r>
      <w:proofErr w:type="gramStart"/>
      <w:r w:rsidRPr="00C31949">
        <w:t>,</w:t>
      </w:r>
      <w:proofErr w:type="gramEnd"/>
      <w:r w:rsidRPr="00C31949"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Pr="00C31949">
        <w:t xml:space="preserve"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</w:t>
      </w:r>
      <w:hyperlink r:id="rId25" w:anchor="/document/12124624/entry/2" w:history="1">
        <w:r w:rsidRPr="00C31949">
          <w:rPr>
            <w:rStyle w:val="a3"/>
          </w:rPr>
          <w:t>земельным законодательством</w:t>
        </w:r>
      </w:hyperlink>
      <w:r w:rsidRPr="00C31949">
        <w:t xml:space="preserve">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26" w:anchor="/document/12138258/entry/573011" w:history="1">
        <w:r w:rsidRPr="00C31949">
          <w:rPr>
            <w:rStyle w:val="a3"/>
          </w:rPr>
          <w:t>частью</w:t>
        </w:r>
        <w:proofErr w:type="gramEnd"/>
        <w:r w:rsidRPr="00C31949">
          <w:rPr>
            <w:rStyle w:val="a3"/>
          </w:rPr>
          <w:t xml:space="preserve"> 1.1 статьи 57.3</w:t>
        </w:r>
      </w:hyperlink>
      <w:r w:rsidRPr="00C31949">
        <w:t xml:space="preserve">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</w:t>
      </w:r>
      <w:r w:rsidRPr="00C31949">
        <w:lastRenderedPageBreak/>
        <w:t xml:space="preserve">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C31949">
        <w:t>осуществляются</w:t>
      </w:r>
      <w:proofErr w:type="gramEnd"/>
      <w:r w:rsidRPr="00C31949"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Pr="00C31949">
        <w:t>порядке</w:t>
      </w:r>
      <w:proofErr w:type="gramEnd"/>
      <w:r w:rsidRPr="00C31949">
        <w:t xml:space="preserve"> прав третьих лиц на такие земельные участки в связи с их изъятием для государственных или муниципальных нужд.»;</w:t>
      </w:r>
    </w:p>
    <w:p w:rsidR="002025DC" w:rsidRPr="00C31949" w:rsidRDefault="002025DC" w:rsidP="002025DC">
      <w:pPr>
        <w:ind w:firstLine="709"/>
      </w:pPr>
      <w:r w:rsidRPr="00C31949">
        <w:t>2. Настоящее постановление вступает в силу после его официального опубликования.</w:t>
      </w:r>
    </w:p>
    <w:p w:rsidR="002025DC" w:rsidRPr="00F552A5" w:rsidRDefault="002025DC" w:rsidP="002025DC">
      <w:pPr>
        <w:pStyle w:val="a5"/>
        <w:spacing w:before="0" w:beforeAutospacing="0" w:after="0"/>
        <w:ind w:firstLine="709"/>
        <w:jc w:val="both"/>
      </w:pPr>
    </w:p>
    <w:p w:rsidR="00387C52" w:rsidRDefault="002025DC" w:rsidP="002025DC">
      <w:r w:rsidRPr="00295E84">
        <w:t>Глава Кульгешского сельского поселения</w:t>
      </w:r>
      <w:r>
        <w:t xml:space="preserve">                                                             </w:t>
      </w:r>
      <w:r w:rsidRPr="00295E84">
        <w:t>О.С.</w:t>
      </w:r>
      <w:r w:rsidRPr="00295E84">
        <w:rPr>
          <w:rStyle w:val="aa"/>
        </w:rPr>
        <w:t> </w:t>
      </w:r>
      <w:r w:rsidRPr="00295E84">
        <w:t>Кузьмин</w:t>
      </w:r>
    </w:p>
    <w:sectPr w:rsidR="00387C52" w:rsidSect="0038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quot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DC"/>
    <w:rsid w:val="002025DC"/>
    <w:rsid w:val="003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5DC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202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2025DC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6">
    <w:name w:val="Body Text"/>
    <w:aliases w:val="Основной текст Знак Знак,bt"/>
    <w:basedOn w:val="a"/>
    <w:link w:val="a7"/>
    <w:uiPriority w:val="1"/>
    <w:unhideWhenUsed/>
    <w:qFormat/>
    <w:rsid w:val="002025DC"/>
    <w:pPr>
      <w:suppressAutoHyphens w:val="0"/>
      <w:spacing w:after="120"/>
      <w:jc w:val="left"/>
    </w:pPr>
    <w:rPr>
      <w:lang w:eastAsia="ru-RU"/>
    </w:rPr>
  </w:style>
  <w:style w:type="character" w:customStyle="1" w:styleId="a7">
    <w:name w:val="Основной текст Знак"/>
    <w:aliases w:val="Основной текст Знак Знак Знак,bt Знак"/>
    <w:basedOn w:val="a0"/>
    <w:link w:val="a6"/>
    <w:uiPriority w:val="1"/>
    <w:rsid w:val="00202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2025DC"/>
    <w:pPr>
      <w:spacing w:before="280" w:after="280"/>
    </w:pPr>
  </w:style>
  <w:style w:type="paragraph" w:customStyle="1" w:styleId="a8">
    <w:name w:val="Таблицы (моноширинный)"/>
    <w:basedOn w:val="a"/>
    <w:next w:val="a"/>
    <w:qFormat/>
    <w:rsid w:val="002025DC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2025DC"/>
  </w:style>
  <w:style w:type="character" w:customStyle="1" w:styleId="a9">
    <w:name w:val="Цветовое выделение"/>
    <w:rsid w:val="002025DC"/>
    <w:rPr>
      <w:b/>
      <w:bCs/>
      <w:color w:val="26282F"/>
      <w:sz w:val="26"/>
      <w:szCs w:val="26"/>
    </w:rPr>
  </w:style>
  <w:style w:type="character" w:styleId="aa">
    <w:name w:val="Strong"/>
    <w:basedOn w:val="a0"/>
    <w:qFormat/>
    <w:rsid w:val="00202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www.gosuslugi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2432</Words>
  <Characters>13866</Characters>
  <Application>Microsoft Office Word</Application>
  <DocSecurity>0</DocSecurity>
  <Lines>115</Lines>
  <Paragraphs>32</Paragraphs>
  <ScaleCrop>false</ScaleCrop>
  <Company>Microsoft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2020-12-30T10:13:00Z</dcterms:created>
  <dcterms:modified xsi:type="dcterms:W3CDTF">2020-12-30T10:13:00Z</dcterms:modified>
</cp:coreProperties>
</file>