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0C" w:rsidRDefault="0014290C" w:rsidP="00510512"/>
    <w:p w:rsidR="0014290C" w:rsidRDefault="0014290C" w:rsidP="00510512">
      <w:r>
        <w:t xml:space="preserve">                                                                    </w:t>
      </w:r>
      <w:r w:rsidRPr="00D4335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4.5pt">
            <v:imagedata r:id="rId4" o:title=""/>
          </v:shape>
        </w:pict>
      </w:r>
    </w:p>
    <w:p w:rsidR="0014290C" w:rsidRDefault="0014290C" w:rsidP="00510512"/>
    <w:tbl>
      <w:tblPr>
        <w:tblW w:w="0" w:type="auto"/>
        <w:tblInd w:w="-106" w:type="dxa"/>
        <w:tblLayout w:type="fixed"/>
        <w:tblLook w:val="0000"/>
      </w:tblPr>
      <w:tblGrid>
        <w:gridCol w:w="4140"/>
        <w:gridCol w:w="1440"/>
        <w:gridCol w:w="3969"/>
      </w:tblGrid>
      <w:tr w:rsidR="0014290C">
        <w:trPr>
          <w:trHeight w:val="2826"/>
        </w:trPr>
        <w:tc>
          <w:tcPr>
            <w:tcW w:w="4140" w:type="dxa"/>
          </w:tcPr>
          <w:p w:rsidR="0014290C" w:rsidRDefault="0014290C" w:rsidP="00953CA6">
            <w:pPr>
              <w:jc w:val="center"/>
              <w:rPr>
                <w:b/>
                <w:bCs/>
              </w:rPr>
            </w:pPr>
            <w:r>
              <w:rPr>
                <w:b/>
                <w:bCs/>
              </w:rPr>
              <w:t>ЧĂВАШ РЕСПУБЛИКИ</w:t>
            </w:r>
          </w:p>
          <w:p w:rsidR="0014290C" w:rsidRDefault="0014290C" w:rsidP="00953CA6">
            <w:pPr>
              <w:jc w:val="center"/>
            </w:pPr>
            <w:r>
              <w:rPr>
                <w:b/>
                <w:bCs/>
              </w:rPr>
              <w:t>КОМСОМОЛЬСКИ РАЙОНĚ</w:t>
            </w:r>
            <w:r>
              <w:t xml:space="preserve"> </w:t>
            </w:r>
          </w:p>
          <w:p w:rsidR="0014290C" w:rsidRDefault="0014290C" w:rsidP="00953CA6">
            <w:pPr>
              <w:jc w:val="center"/>
              <w:rPr>
                <w:b/>
                <w:bCs/>
              </w:rPr>
            </w:pPr>
            <w:r>
              <w:rPr>
                <w:b/>
                <w:bCs/>
              </w:rPr>
              <w:t xml:space="preserve">ТУКАЙ   ЯЛ ПОСЕЛЕНИЙĚН </w:t>
            </w:r>
          </w:p>
          <w:p w:rsidR="0014290C" w:rsidRDefault="0014290C" w:rsidP="00953CA6">
            <w:pPr>
              <w:jc w:val="center"/>
              <w:rPr>
                <w:b/>
                <w:bCs/>
              </w:rPr>
            </w:pPr>
            <w:r>
              <w:rPr>
                <w:b/>
                <w:bCs/>
              </w:rPr>
              <w:t>АДМИНИСТРАЦИЙЕ</w:t>
            </w:r>
          </w:p>
          <w:p w:rsidR="0014290C" w:rsidRDefault="0014290C" w:rsidP="00953CA6">
            <w:pPr>
              <w:jc w:val="center"/>
            </w:pPr>
          </w:p>
          <w:p w:rsidR="0014290C" w:rsidRDefault="0014290C" w:rsidP="00953CA6">
            <w:pPr>
              <w:jc w:val="center"/>
            </w:pPr>
          </w:p>
          <w:p w:rsidR="0014290C" w:rsidRDefault="0014290C" w:rsidP="00953CA6">
            <w:pPr>
              <w:jc w:val="center"/>
              <w:rPr>
                <w:b/>
                <w:bCs/>
              </w:rPr>
            </w:pPr>
            <w:r>
              <w:rPr>
                <w:b/>
                <w:bCs/>
              </w:rPr>
              <w:t>ЙЫШĂНУ</w:t>
            </w:r>
          </w:p>
          <w:p w:rsidR="0014290C" w:rsidRDefault="0014290C" w:rsidP="00953CA6">
            <w:pPr>
              <w:jc w:val="center"/>
            </w:pPr>
          </w:p>
          <w:p w:rsidR="0014290C" w:rsidRDefault="0014290C" w:rsidP="00953CA6">
            <w:pPr>
              <w:jc w:val="center"/>
            </w:pPr>
            <w:r>
              <w:t>Мартан  05-меше 2020 с №10</w:t>
            </w:r>
          </w:p>
          <w:p w:rsidR="0014290C" w:rsidRDefault="0014290C" w:rsidP="00953CA6">
            <w:pPr>
              <w:jc w:val="center"/>
            </w:pPr>
            <w:r>
              <w:t>Тукай  ялě</w:t>
            </w:r>
          </w:p>
        </w:tc>
        <w:tc>
          <w:tcPr>
            <w:tcW w:w="1440" w:type="dxa"/>
          </w:tcPr>
          <w:p w:rsidR="0014290C" w:rsidRDefault="0014290C" w:rsidP="00953CA6">
            <w:pPr>
              <w:jc w:val="center"/>
            </w:pPr>
          </w:p>
        </w:tc>
        <w:tc>
          <w:tcPr>
            <w:tcW w:w="3969" w:type="dxa"/>
          </w:tcPr>
          <w:p w:rsidR="0014290C" w:rsidRDefault="0014290C" w:rsidP="00953CA6">
            <w:pPr>
              <w:pStyle w:val="a"/>
              <w:jc w:val="center"/>
              <w:rPr>
                <w:rStyle w:val="a0"/>
                <w:b w:val="0"/>
                <w:bCs w:val="0"/>
                <w:noProof/>
                <w:color w:val="000000"/>
                <w:sz w:val="24"/>
                <w:szCs w:val="24"/>
              </w:rPr>
            </w:pPr>
            <w:r>
              <w:rPr>
                <w:rFonts w:ascii="Times New Roman" w:hAnsi="Times New Roman" w:cs="Times New Roman"/>
                <w:b/>
                <w:bCs/>
                <w:noProof/>
                <w:sz w:val="24"/>
                <w:szCs w:val="24"/>
              </w:rPr>
              <w:t>ЧУВАШСКАЯ РЕСПУБЛИКА</w:t>
            </w:r>
          </w:p>
          <w:p w:rsidR="0014290C" w:rsidRDefault="0014290C" w:rsidP="00953CA6">
            <w:pPr>
              <w:pStyle w:val="a"/>
              <w:jc w:val="center"/>
            </w:pPr>
            <w:r>
              <w:rPr>
                <w:rStyle w:val="a0"/>
                <w:rFonts w:ascii="Times New Roman" w:hAnsi="Times New Roman" w:cs="Times New Roman"/>
                <w:noProof/>
                <w:color w:val="000000"/>
                <w:sz w:val="24"/>
                <w:szCs w:val="24"/>
              </w:rPr>
              <w:t>КОМСОМОЛЬСКИЙ</w:t>
            </w:r>
            <w:r>
              <w:rPr>
                <w:rStyle w:val="a0"/>
                <w:noProof/>
                <w:color w:val="000000"/>
                <w:sz w:val="24"/>
                <w:szCs w:val="24"/>
              </w:rPr>
              <w:t xml:space="preserve"> </w:t>
            </w:r>
            <w:r>
              <w:rPr>
                <w:rFonts w:ascii="Times New Roman" w:hAnsi="Times New Roman" w:cs="Times New Roman"/>
                <w:b/>
                <w:bCs/>
                <w:noProof/>
                <w:color w:val="000000"/>
                <w:sz w:val="24"/>
                <w:szCs w:val="24"/>
              </w:rPr>
              <w:t>РАЙОН</w:t>
            </w:r>
          </w:p>
          <w:p w:rsidR="0014290C" w:rsidRDefault="0014290C" w:rsidP="00953CA6">
            <w:pPr>
              <w:pStyle w:val="a"/>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14290C" w:rsidRDefault="0014290C" w:rsidP="00953CA6">
            <w:pPr>
              <w:pStyle w:val="a"/>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ТУГАЕВСКОГО СЕЛЬСКОГО</w:t>
            </w:r>
          </w:p>
          <w:p w:rsidR="0014290C" w:rsidRDefault="0014290C" w:rsidP="00953CA6">
            <w:pPr>
              <w:pStyle w:val="a"/>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14290C" w:rsidRDefault="0014290C" w:rsidP="00953CA6">
            <w:pPr>
              <w:rPr>
                <w:lang w:eastAsia="ar-SA"/>
              </w:rPr>
            </w:pPr>
          </w:p>
          <w:p w:rsidR="0014290C" w:rsidRDefault="0014290C" w:rsidP="00953CA6">
            <w:pPr>
              <w:pStyle w:val="a"/>
              <w:jc w:val="center"/>
              <w:rPr>
                <w:rStyle w:val="a0"/>
                <w:rFonts w:ascii="Times New Roman" w:hAnsi="Times New Roman" w:cs="Times New Roman"/>
                <w:noProof/>
                <w:color w:val="000000"/>
              </w:rPr>
            </w:pPr>
            <w:r>
              <w:rPr>
                <w:rStyle w:val="a0"/>
                <w:rFonts w:ascii="Times New Roman" w:hAnsi="Times New Roman" w:cs="Times New Roman"/>
                <w:noProof/>
                <w:color w:val="000000"/>
                <w:sz w:val="24"/>
                <w:szCs w:val="24"/>
              </w:rPr>
              <w:t>ПОСТАНОВЛЕНИЕ</w:t>
            </w:r>
          </w:p>
          <w:p w:rsidR="0014290C" w:rsidRDefault="0014290C" w:rsidP="00953CA6"/>
          <w:p w:rsidR="0014290C" w:rsidRDefault="0014290C" w:rsidP="00953CA6">
            <w:pPr>
              <w:jc w:val="center"/>
              <w:rPr>
                <w:noProof/>
              </w:rPr>
            </w:pPr>
            <w:r>
              <w:t>05  марта  2020  г.</w:t>
            </w:r>
            <w:r>
              <w:rPr>
                <w:noProof/>
              </w:rPr>
              <w:t xml:space="preserve">  №10</w:t>
            </w:r>
          </w:p>
          <w:p w:rsidR="0014290C" w:rsidRDefault="0014290C" w:rsidP="00953CA6">
            <w:pPr>
              <w:jc w:val="center"/>
            </w:pPr>
            <w:r>
              <w:rPr>
                <w:noProof/>
                <w:color w:val="000000"/>
              </w:rPr>
              <w:t>село Тугаево</w:t>
            </w:r>
          </w:p>
        </w:tc>
      </w:tr>
    </w:tbl>
    <w:p w:rsidR="0014290C" w:rsidRDefault="0014290C" w:rsidP="00835CEE">
      <w:pPr>
        <w:jc w:val="both"/>
      </w:pPr>
    </w:p>
    <w:p w:rsidR="0014290C" w:rsidRDefault="0014290C" w:rsidP="00835CEE">
      <w:pPr>
        <w:jc w:val="both"/>
        <w:rPr>
          <w:sz w:val="28"/>
          <w:szCs w:val="28"/>
        </w:rPr>
      </w:pPr>
      <w:r>
        <w:rPr>
          <w:sz w:val="28"/>
          <w:szCs w:val="28"/>
        </w:rPr>
        <w:t>О  внесении  изменений в базу данных ФИАС</w:t>
      </w:r>
    </w:p>
    <w:p w:rsidR="0014290C" w:rsidRDefault="0014290C" w:rsidP="00835CEE">
      <w:pPr>
        <w:ind w:firstLine="900"/>
        <w:jc w:val="both"/>
        <w:rPr>
          <w:sz w:val="28"/>
          <w:szCs w:val="28"/>
        </w:rPr>
      </w:pPr>
    </w:p>
    <w:p w:rsidR="0014290C" w:rsidRDefault="0014290C" w:rsidP="00835CEE">
      <w:pPr>
        <w:ind w:firstLine="900"/>
        <w:jc w:val="both"/>
        <w:rPr>
          <w:sz w:val="28"/>
          <w:szCs w:val="28"/>
        </w:rPr>
      </w:pPr>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28.12.2014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Административным регламентом администрации Тугаевского сельского поселения Комсомольского района  Чувашской  Республики  по предоставлению муниципальной услуги «Присвоение                 (уточнение) адреса объекту недвижимости  на территории Тугаевского сельского поселения», утвержденным постановлением от 12.12.2018 №66, администрация  Тугаевского сельского поселения  Комсомольского района Чувашской  Республики   п о с т а н о в л я е т:</w:t>
      </w:r>
    </w:p>
    <w:p w:rsidR="0014290C" w:rsidRDefault="0014290C" w:rsidP="00835CEE">
      <w:pPr>
        <w:ind w:firstLine="900"/>
        <w:jc w:val="both"/>
        <w:rPr>
          <w:sz w:val="28"/>
          <w:szCs w:val="28"/>
        </w:rPr>
      </w:pPr>
      <w:r>
        <w:rPr>
          <w:sz w:val="28"/>
          <w:szCs w:val="28"/>
        </w:rPr>
        <w:t>1. Провести добавление адресных объектов, отсутствующих в федеральной информационной адресной системе (ФИАС) согласно приложению№1.</w:t>
      </w:r>
    </w:p>
    <w:p w:rsidR="0014290C" w:rsidRDefault="0014290C" w:rsidP="00835CEE">
      <w:pPr>
        <w:ind w:firstLine="900"/>
        <w:jc w:val="both"/>
        <w:rPr>
          <w:sz w:val="28"/>
          <w:szCs w:val="28"/>
        </w:rPr>
      </w:pPr>
      <w:r>
        <w:rPr>
          <w:sz w:val="28"/>
          <w:szCs w:val="28"/>
        </w:rPr>
        <w:t>2.  Настоящее постановление вступает в силу после его официального опубликования в информационном бюллетене «Вестник Тугаевского сельского поселения Комсомольского района» и подлежит размещению на официальном сайте администрации Тугаевского сельского поселения Комсомольского района.</w:t>
      </w:r>
    </w:p>
    <w:p w:rsidR="0014290C" w:rsidRDefault="0014290C" w:rsidP="00835CEE">
      <w:pPr>
        <w:ind w:firstLine="900"/>
        <w:jc w:val="both"/>
        <w:rPr>
          <w:sz w:val="28"/>
          <w:szCs w:val="28"/>
        </w:rPr>
      </w:pPr>
      <w:r>
        <w:rPr>
          <w:sz w:val="28"/>
          <w:szCs w:val="28"/>
        </w:rPr>
        <w:t>3. Контроль за исполнением настоящего постановления оставляю за собой.</w:t>
      </w:r>
    </w:p>
    <w:p w:rsidR="0014290C" w:rsidRDefault="0014290C" w:rsidP="00835CEE">
      <w:pPr>
        <w:ind w:firstLine="900"/>
        <w:jc w:val="both"/>
        <w:rPr>
          <w:sz w:val="28"/>
          <w:szCs w:val="28"/>
        </w:rPr>
      </w:pPr>
    </w:p>
    <w:p w:rsidR="0014290C" w:rsidRDefault="0014290C" w:rsidP="007F0F5B">
      <w:pPr>
        <w:jc w:val="both"/>
        <w:rPr>
          <w:sz w:val="28"/>
          <w:szCs w:val="28"/>
        </w:rPr>
      </w:pPr>
    </w:p>
    <w:p w:rsidR="0014290C" w:rsidRPr="00510512" w:rsidRDefault="0014290C" w:rsidP="007F0F5B">
      <w:pPr>
        <w:jc w:val="both"/>
        <w:rPr>
          <w:sz w:val="28"/>
          <w:szCs w:val="28"/>
        </w:rPr>
      </w:pPr>
      <w:r>
        <w:rPr>
          <w:sz w:val="28"/>
          <w:szCs w:val="28"/>
        </w:rPr>
        <w:t>Глава Тугаевского</w:t>
      </w:r>
      <w:r w:rsidRPr="00510512">
        <w:rPr>
          <w:sz w:val="28"/>
          <w:szCs w:val="28"/>
        </w:rPr>
        <w:t xml:space="preserve"> </w:t>
      </w:r>
    </w:p>
    <w:p w:rsidR="0014290C" w:rsidRDefault="0014290C" w:rsidP="007F0F5B">
      <w:pPr>
        <w:jc w:val="both"/>
        <w:rPr>
          <w:sz w:val="28"/>
          <w:szCs w:val="28"/>
        </w:rPr>
      </w:pPr>
      <w:r w:rsidRPr="00510512">
        <w:rPr>
          <w:sz w:val="28"/>
          <w:szCs w:val="28"/>
        </w:rPr>
        <w:t xml:space="preserve">сельского поселения                                          </w:t>
      </w:r>
      <w:r>
        <w:rPr>
          <w:sz w:val="28"/>
          <w:szCs w:val="28"/>
        </w:rPr>
        <w:t xml:space="preserve">                              О.П.Андреева</w:t>
      </w:r>
    </w:p>
    <w:p w:rsidR="0014290C" w:rsidRDefault="0014290C" w:rsidP="007F0F5B">
      <w:pPr>
        <w:jc w:val="both"/>
        <w:rPr>
          <w:sz w:val="28"/>
          <w:szCs w:val="28"/>
        </w:rPr>
      </w:pPr>
    </w:p>
    <w:p w:rsidR="0014290C" w:rsidRDefault="0014290C" w:rsidP="00F64DAA">
      <w:pPr>
        <w:rPr>
          <w:sz w:val="20"/>
          <w:szCs w:val="20"/>
        </w:rPr>
      </w:pPr>
      <w:r>
        <w:t xml:space="preserve">                                                                                                                                    </w:t>
      </w:r>
      <w:r>
        <w:rPr>
          <w:sz w:val="20"/>
          <w:szCs w:val="20"/>
        </w:rPr>
        <w:t>Приложение №1</w:t>
      </w:r>
    </w:p>
    <w:p w:rsidR="0014290C" w:rsidRDefault="0014290C" w:rsidP="00F64DAA">
      <w:pPr>
        <w:rPr>
          <w:sz w:val="20"/>
          <w:szCs w:val="20"/>
        </w:rPr>
      </w:pPr>
      <w:r>
        <w:rPr>
          <w:sz w:val="20"/>
          <w:szCs w:val="20"/>
        </w:rPr>
        <w:t xml:space="preserve">                                                                                                                                к Постановлению администрации</w:t>
      </w:r>
    </w:p>
    <w:p w:rsidR="0014290C" w:rsidRDefault="0014290C" w:rsidP="00F64DAA">
      <w:pPr>
        <w:jc w:val="both"/>
        <w:rPr>
          <w:sz w:val="20"/>
          <w:szCs w:val="20"/>
        </w:rPr>
      </w:pPr>
      <w:r>
        <w:rPr>
          <w:sz w:val="20"/>
          <w:szCs w:val="20"/>
        </w:rPr>
        <w:t xml:space="preserve">                                                                                                                               Тугаевского  сельского  поселения</w:t>
      </w:r>
    </w:p>
    <w:p w:rsidR="0014290C" w:rsidRDefault="0014290C" w:rsidP="00F64DAA">
      <w:pPr>
        <w:jc w:val="both"/>
        <w:rPr>
          <w:sz w:val="20"/>
          <w:szCs w:val="20"/>
        </w:rPr>
      </w:pPr>
      <w:r>
        <w:rPr>
          <w:sz w:val="20"/>
          <w:szCs w:val="20"/>
        </w:rPr>
        <w:t xml:space="preserve">                                                                                                                                                 Комсомольского района</w:t>
      </w:r>
    </w:p>
    <w:p w:rsidR="0014290C" w:rsidRDefault="0014290C" w:rsidP="00F64DAA">
      <w:pPr>
        <w:jc w:val="both"/>
        <w:rPr>
          <w:sz w:val="20"/>
          <w:szCs w:val="20"/>
        </w:rPr>
      </w:pPr>
      <w:r>
        <w:rPr>
          <w:sz w:val="20"/>
          <w:szCs w:val="20"/>
        </w:rPr>
        <w:t xml:space="preserve">                                                                                                                                                 Чувашской  Республики  </w:t>
      </w:r>
    </w:p>
    <w:p w:rsidR="0014290C" w:rsidRDefault="0014290C" w:rsidP="00F64DAA">
      <w:pPr>
        <w:jc w:val="both"/>
        <w:rPr>
          <w:sz w:val="20"/>
          <w:szCs w:val="20"/>
        </w:rPr>
      </w:pPr>
      <w:r>
        <w:rPr>
          <w:sz w:val="20"/>
          <w:szCs w:val="20"/>
        </w:rPr>
        <w:t xml:space="preserve">                                                                                                                                                 от 05 марта 2020 г. №10</w:t>
      </w:r>
    </w:p>
    <w:p w:rsidR="0014290C" w:rsidRDefault="0014290C" w:rsidP="00F64DAA">
      <w:pPr>
        <w:jc w:val="both"/>
        <w:rPr>
          <w:sz w:val="20"/>
          <w:szCs w:val="20"/>
        </w:rPr>
      </w:pPr>
      <w:r>
        <w:rPr>
          <w:sz w:val="20"/>
          <w:szCs w:val="20"/>
        </w:rPr>
        <w:t xml:space="preserve">                                                 </w:t>
      </w:r>
    </w:p>
    <w:p w:rsidR="0014290C" w:rsidRDefault="0014290C" w:rsidP="00F64DAA">
      <w:pPr>
        <w:jc w:val="both"/>
        <w:rPr>
          <w:b/>
          <w:bCs/>
          <w:sz w:val="20"/>
          <w:szCs w:val="20"/>
        </w:rPr>
      </w:pPr>
      <w:r>
        <w:rPr>
          <w:sz w:val="20"/>
          <w:szCs w:val="20"/>
        </w:rPr>
        <w:t xml:space="preserve">                                                    </w:t>
      </w:r>
      <w:r>
        <w:rPr>
          <w:b/>
          <w:bCs/>
          <w:sz w:val="20"/>
          <w:szCs w:val="20"/>
        </w:rPr>
        <w:t>Список домов, добавляемых в базу данных ФИАС</w:t>
      </w:r>
    </w:p>
    <w:p w:rsidR="0014290C" w:rsidRDefault="0014290C" w:rsidP="00F64DAA">
      <w:pPr>
        <w:jc w:val="both"/>
        <w:rPr>
          <w:sz w:val="20"/>
          <w:szCs w:val="20"/>
        </w:rPr>
      </w:pPr>
    </w:p>
    <w:tbl>
      <w:tblPr>
        <w:tblStyle w:val="TableGrid"/>
        <w:tblW w:w="0" w:type="auto"/>
        <w:tblInd w:w="-106" w:type="dxa"/>
        <w:tblLook w:val="01E0"/>
      </w:tblPr>
      <w:tblGrid>
        <w:gridCol w:w="648"/>
        <w:gridCol w:w="3179"/>
        <w:gridCol w:w="1914"/>
        <w:gridCol w:w="1914"/>
        <w:gridCol w:w="1915"/>
      </w:tblGrid>
      <w:tr w:rsidR="0014290C" w:rsidTr="00E872E5">
        <w:tc>
          <w:tcPr>
            <w:tcW w:w="648" w:type="dxa"/>
          </w:tcPr>
          <w:p w:rsidR="0014290C" w:rsidRDefault="0014290C" w:rsidP="00E872E5">
            <w:pPr>
              <w:jc w:val="both"/>
              <w:rPr>
                <w:rFonts w:cs="Times New Roman"/>
                <w:sz w:val="20"/>
                <w:szCs w:val="20"/>
              </w:rPr>
            </w:pPr>
            <w:r>
              <w:rPr>
                <w:rFonts w:cs="Times New Roman"/>
                <w:sz w:val="20"/>
                <w:szCs w:val="20"/>
              </w:rPr>
              <w:t>№ п/п</w:t>
            </w:r>
          </w:p>
        </w:tc>
        <w:tc>
          <w:tcPr>
            <w:tcW w:w="3179" w:type="dxa"/>
          </w:tcPr>
          <w:p w:rsidR="0014290C" w:rsidRDefault="0014290C" w:rsidP="00E872E5">
            <w:pPr>
              <w:jc w:val="both"/>
              <w:rPr>
                <w:rFonts w:cs="Times New Roman"/>
                <w:sz w:val="20"/>
                <w:szCs w:val="20"/>
              </w:rPr>
            </w:pPr>
            <w:r>
              <w:rPr>
                <w:rFonts w:cs="Times New Roman"/>
                <w:sz w:val="20"/>
                <w:szCs w:val="20"/>
              </w:rPr>
              <w:t>Адрес объекта</w:t>
            </w:r>
          </w:p>
        </w:tc>
        <w:tc>
          <w:tcPr>
            <w:tcW w:w="1914" w:type="dxa"/>
          </w:tcPr>
          <w:p w:rsidR="0014290C" w:rsidRDefault="0014290C" w:rsidP="00E872E5">
            <w:pPr>
              <w:jc w:val="both"/>
              <w:rPr>
                <w:rFonts w:cs="Times New Roman"/>
                <w:sz w:val="20"/>
                <w:szCs w:val="20"/>
              </w:rPr>
            </w:pPr>
            <w:r>
              <w:rPr>
                <w:rFonts w:cs="Times New Roman"/>
                <w:sz w:val="20"/>
                <w:szCs w:val="20"/>
              </w:rPr>
              <w:t>Наименование объекта</w:t>
            </w:r>
          </w:p>
        </w:tc>
        <w:tc>
          <w:tcPr>
            <w:tcW w:w="1914" w:type="dxa"/>
          </w:tcPr>
          <w:p w:rsidR="0014290C" w:rsidRDefault="0014290C" w:rsidP="00E872E5">
            <w:pPr>
              <w:jc w:val="both"/>
              <w:rPr>
                <w:rFonts w:cs="Times New Roman"/>
                <w:sz w:val="20"/>
                <w:szCs w:val="20"/>
              </w:rPr>
            </w:pPr>
            <w:r>
              <w:rPr>
                <w:rFonts w:cs="Times New Roman"/>
                <w:sz w:val="20"/>
                <w:szCs w:val="20"/>
              </w:rPr>
              <w:t>Номер</w:t>
            </w:r>
          </w:p>
        </w:tc>
        <w:tc>
          <w:tcPr>
            <w:tcW w:w="1915" w:type="dxa"/>
          </w:tcPr>
          <w:p w:rsidR="0014290C" w:rsidRDefault="0014290C" w:rsidP="00E872E5">
            <w:pPr>
              <w:jc w:val="both"/>
              <w:rPr>
                <w:rFonts w:cs="Times New Roman"/>
                <w:sz w:val="20"/>
                <w:szCs w:val="20"/>
              </w:rPr>
            </w:pPr>
            <w:r>
              <w:rPr>
                <w:rFonts w:cs="Times New Roman"/>
                <w:sz w:val="20"/>
                <w:szCs w:val="20"/>
              </w:rPr>
              <w:t>Примечание</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1</w:t>
            </w:r>
          </w:p>
        </w:tc>
        <w:tc>
          <w:tcPr>
            <w:tcW w:w="3179" w:type="dxa"/>
          </w:tcPr>
          <w:p w:rsidR="0014290C" w:rsidRDefault="0014290C" w:rsidP="00E872E5">
            <w:pPr>
              <w:jc w:val="both"/>
              <w:rPr>
                <w:rFonts w:cs="Times New Roman"/>
                <w:sz w:val="20"/>
                <w:szCs w:val="20"/>
              </w:rPr>
            </w:pPr>
            <w:r>
              <w:rPr>
                <w:rFonts w:cs="Times New Roman"/>
                <w:sz w:val="20"/>
                <w:szCs w:val="20"/>
              </w:rPr>
              <w:t>Российская Федерация, Чувашская Республика-Чувашия, Комсомольский муниципальный район, сельское поселение Тугаевское, Тугаево село, Ленина улица</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2</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 ФИАС</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2</w:t>
            </w:r>
          </w:p>
        </w:tc>
        <w:tc>
          <w:tcPr>
            <w:tcW w:w="3179" w:type="dxa"/>
          </w:tcPr>
          <w:p w:rsidR="0014290C" w:rsidRDefault="0014290C" w:rsidP="00E872E5">
            <w:pPr>
              <w:jc w:val="both"/>
              <w:rPr>
                <w:rFonts w:cs="Times New Roman"/>
                <w:sz w:val="20"/>
                <w:szCs w:val="20"/>
              </w:rPr>
            </w:pPr>
            <w:r>
              <w:rPr>
                <w:rFonts w:cs="Times New Roman"/>
                <w:sz w:val="20"/>
                <w:szCs w:val="20"/>
              </w:rPr>
              <w:t>Российская Федерация, Чувашская  Республика-Чувашия, Комсомольский муниципальный район, сельское  поселение  Тугаевское, Тугаево село, Николаева улица</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24а</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 ФИАС</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3</w:t>
            </w:r>
          </w:p>
        </w:tc>
        <w:tc>
          <w:tcPr>
            <w:tcW w:w="3179" w:type="dxa"/>
          </w:tcPr>
          <w:p w:rsidR="0014290C" w:rsidRDefault="0014290C" w:rsidP="00E872E5">
            <w:pPr>
              <w:jc w:val="both"/>
              <w:rPr>
                <w:rFonts w:cs="Times New Roman"/>
                <w:sz w:val="20"/>
                <w:szCs w:val="20"/>
              </w:rPr>
            </w:pPr>
            <w:r>
              <w:rPr>
                <w:rFonts w:cs="Times New Roman"/>
                <w:sz w:val="20"/>
                <w:szCs w:val="20"/>
              </w:rPr>
              <w:t>Российская Федерация, Чувашская Республика- Чувашия, Комсомольский муниципальный район, сельское  поселение Тугаевское, Нижнее  Тимерчеево деревня, Советская улица</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15а</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4</w:t>
            </w:r>
          </w:p>
        </w:tc>
        <w:tc>
          <w:tcPr>
            <w:tcW w:w="3179" w:type="dxa"/>
          </w:tcPr>
          <w:p w:rsidR="0014290C" w:rsidRDefault="0014290C" w:rsidP="00E872E5">
            <w:pPr>
              <w:jc w:val="both"/>
              <w:rPr>
                <w:rFonts w:cs="Times New Roman"/>
                <w:sz w:val="20"/>
                <w:szCs w:val="20"/>
              </w:rPr>
            </w:pPr>
            <w:r>
              <w:rPr>
                <w:rFonts w:cs="Times New Roman"/>
                <w:sz w:val="20"/>
                <w:szCs w:val="20"/>
              </w:rPr>
              <w:t>Российская Федерация, Чувашская Республика-Чувашия, Комсомольский  муниципальный район, сельское  поселение  Тугаевское, Вотланы деревня, Чапаева улица</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1а</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5</w:t>
            </w:r>
          </w:p>
        </w:tc>
        <w:tc>
          <w:tcPr>
            <w:tcW w:w="3179" w:type="dxa"/>
          </w:tcPr>
          <w:p w:rsidR="0014290C" w:rsidRDefault="0014290C" w:rsidP="00E872E5">
            <w:pPr>
              <w:jc w:val="both"/>
              <w:rPr>
                <w:rFonts w:cs="Times New Roman"/>
                <w:sz w:val="20"/>
                <w:szCs w:val="20"/>
              </w:rPr>
            </w:pPr>
            <w:r>
              <w:rPr>
                <w:rFonts w:cs="Times New Roman"/>
                <w:sz w:val="20"/>
                <w:szCs w:val="20"/>
              </w:rPr>
              <w:t xml:space="preserve">Российская Федерация, Чувашская Республика-Чувашия, Комсомольский  муниципальный район, сельское  поселение  Тугаевское, Старые  Высли деревня, Калинина улица </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48</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w:t>
            </w:r>
          </w:p>
        </w:tc>
      </w:tr>
      <w:tr w:rsidR="0014290C" w:rsidTr="00E872E5">
        <w:tc>
          <w:tcPr>
            <w:tcW w:w="648" w:type="dxa"/>
          </w:tcPr>
          <w:p w:rsidR="0014290C" w:rsidRDefault="0014290C" w:rsidP="00E872E5">
            <w:pPr>
              <w:jc w:val="both"/>
              <w:rPr>
                <w:rFonts w:cs="Times New Roman"/>
                <w:sz w:val="20"/>
                <w:szCs w:val="20"/>
              </w:rPr>
            </w:pPr>
            <w:r>
              <w:rPr>
                <w:rFonts w:cs="Times New Roman"/>
                <w:sz w:val="20"/>
                <w:szCs w:val="20"/>
              </w:rPr>
              <w:t>6.</w:t>
            </w:r>
          </w:p>
        </w:tc>
        <w:tc>
          <w:tcPr>
            <w:tcW w:w="3179" w:type="dxa"/>
          </w:tcPr>
          <w:p w:rsidR="0014290C" w:rsidRDefault="0014290C" w:rsidP="00E872E5">
            <w:pPr>
              <w:jc w:val="both"/>
              <w:rPr>
                <w:rFonts w:cs="Times New Roman"/>
                <w:sz w:val="20"/>
                <w:szCs w:val="20"/>
              </w:rPr>
            </w:pPr>
            <w:r>
              <w:rPr>
                <w:rFonts w:cs="Times New Roman"/>
                <w:sz w:val="20"/>
                <w:szCs w:val="20"/>
              </w:rPr>
              <w:t>Российская Федерация, Чувашская Республика- Чувашия, Комсомольский  муниципальный район, сельское  поселение Тугаевское, Новые   Мураты деревня, Чапаева  улица</w:t>
            </w:r>
          </w:p>
        </w:tc>
        <w:tc>
          <w:tcPr>
            <w:tcW w:w="1914" w:type="dxa"/>
          </w:tcPr>
          <w:p w:rsidR="0014290C" w:rsidRDefault="0014290C" w:rsidP="00E872E5">
            <w:pPr>
              <w:jc w:val="both"/>
              <w:rPr>
                <w:rFonts w:cs="Times New Roman"/>
                <w:sz w:val="20"/>
                <w:szCs w:val="20"/>
              </w:rPr>
            </w:pPr>
            <w:r>
              <w:rPr>
                <w:rFonts w:cs="Times New Roman"/>
                <w:sz w:val="20"/>
                <w:szCs w:val="20"/>
              </w:rPr>
              <w:t>дом</w:t>
            </w:r>
          </w:p>
        </w:tc>
        <w:tc>
          <w:tcPr>
            <w:tcW w:w="1914" w:type="dxa"/>
          </w:tcPr>
          <w:p w:rsidR="0014290C" w:rsidRDefault="0014290C" w:rsidP="00E872E5">
            <w:pPr>
              <w:jc w:val="both"/>
              <w:rPr>
                <w:rFonts w:cs="Times New Roman"/>
                <w:sz w:val="20"/>
                <w:szCs w:val="20"/>
              </w:rPr>
            </w:pPr>
            <w:r>
              <w:rPr>
                <w:rFonts w:cs="Times New Roman"/>
                <w:sz w:val="20"/>
                <w:szCs w:val="20"/>
              </w:rPr>
              <w:t>21а</w:t>
            </w:r>
          </w:p>
        </w:tc>
        <w:tc>
          <w:tcPr>
            <w:tcW w:w="1915" w:type="dxa"/>
          </w:tcPr>
          <w:p w:rsidR="0014290C" w:rsidRDefault="0014290C" w:rsidP="00E872E5">
            <w:pPr>
              <w:jc w:val="both"/>
              <w:rPr>
                <w:rFonts w:cs="Times New Roman"/>
                <w:sz w:val="20"/>
                <w:szCs w:val="20"/>
              </w:rPr>
            </w:pPr>
            <w:r>
              <w:rPr>
                <w:rFonts w:cs="Times New Roman"/>
                <w:sz w:val="20"/>
                <w:szCs w:val="20"/>
              </w:rPr>
              <w:t>отсутствие в базе данных</w:t>
            </w:r>
          </w:p>
        </w:tc>
      </w:tr>
    </w:tbl>
    <w:p w:rsidR="0014290C" w:rsidRPr="002538F3" w:rsidRDefault="0014290C" w:rsidP="00F64DAA">
      <w:pPr>
        <w:jc w:val="both"/>
        <w:rPr>
          <w:sz w:val="20"/>
          <w:szCs w:val="20"/>
        </w:rPr>
      </w:pPr>
    </w:p>
    <w:p w:rsidR="0014290C" w:rsidRPr="00C06AB5" w:rsidRDefault="0014290C" w:rsidP="00C06AB5">
      <w:pPr>
        <w:rPr>
          <w:b/>
          <w:bCs/>
          <w:sz w:val="26"/>
          <w:szCs w:val="26"/>
        </w:rPr>
      </w:pPr>
    </w:p>
    <w:sectPr w:rsidR="0014290C" w:rsidRPr="00C06AB5" w:rsidSect="00510512">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5B"/>
    <w:rsid w:val="000B08B0"/>
    <w:rsid w:val="000E1BED"/>
    <w:rsid w:val="000F372D"/>
    <w:rsid w:val="00120B82"/>
    <w:rsid w:val="0014290C"/>
    <w:rsid w:val="00163CEC"/>
    <w:rsid w:val="00164A99"/>
    <w:rsid w:val="001C0A25"/>
    <w:rsid w:val="001D31A6"/>
    <w:rsid w:val="002538F3"/>
    <w:rsid w:val="00253B4F"/>
    <w:rsid w:val="00254324"/>
    <w:rsid w:val="00261DD4"/>
    <w:rsid w:val="00263A5B"/>
    <w:rsid w:val="002C78C9"/>
    <w:rsid w:val="0032254F"/>
    <w:rsid w:val="003449C2"/>
    <w:rsid w:val="00360A34"/>
    <w:rsid w:val="00391942"/>
    <w:rsid w:val="003B4A8B"/>
    <w:rsid w:val="00477642"/>
    <w:rsid w:val="004D76AF"/>
    <w:rsid w:val="004E6D7B"/>
    <w:rsid w:val="004F35F8"/>
    <w:rsid w:val="0050505C"/>
    <w:rsid w:val="00510512"/>
    <w:rsid w:val="00523CE2"/>
    <w:rsid w:val="00544743"/>
    <w:rsid w:val="00564336"/>
    <w:rsid w:val="005A0F7B"/>
    <w:rsid w:val="005B6680"/>
    <w:rsid w:val="005D5910"/>
    <w:rsid w:val="005E4DD7"/>
    <w:rsid w:val="00602A8A"/>
    <w:rsid w:val="00643662"/>
    <w:rsid w:val="00654AED"/>
    <w:rsid w:val="007F0F5B"/>
    <w:rsid w:val="0080224F"/>
    <w:rsid w:val="00835CEE"/>
    <w:rsid w:val="0087349F"/>
    <w:rsid w:val="0087654C"/>
    <w:rsid w:val="00953CA6"/>
    <w:rsid w:val="00996E10"/>
    <w:rsid w:val="00997966"/>
    <w:rsid w:val="009A1BA4"/>
    <w:rsid w:val="00A011B7"/>
    <w:rsid w:val="00A022CD"/>
    <w:rsid w:val="00A13A6E"/>
    <w:rsid w:val="00A16870"/>
    <w:rsid w:val="00A53829"/>
    <w:rsid w:val="00A55754"/>
    <w:rsid w:val="00A83CF1"/>
    <w:rsid w:val="00B35A7E"/>
    <w:rsid w:val="00B578E6"/>
    <w:rsid w:val="00B64B8B"/>
    <w:rsid w:val="00B8374C"/>
    <w:rsid w:val="00B9341B"/>
    <w:rsid w:val="00C06AB5"/>
    <w:rsid w:val="00C25DF0"/>
    <w:rsid w:val="00C80E31"/>
    <w:rsid w:val="00CA09F5"/>
    <w:rsid w:val="00CB1300"/>
    <w:rsid w:val="00D424B5"/>
    <w:rsid w:val="00D4335F"/>
    <w:rsid w:val="00D47A57"/>
    <w:rsid w:val="00E15AEC"/>
    <w:rsid w:val="00E16A8D"/>
    <w:rsid w:val="00E872E5"/>
    <w:rsid w:val="00EE400D"/>
    <w:rsid w:val="00F64D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5B"/>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7642"/>
    <w:pPr>
      <w:widowControl w:val="0"/>
      <w:autoSpaceDE w:val="0"/>
      <w:autoSpaceDN w:val="0"/>
      <w:adjustRightInd w:val="0"/>
      <w:spacing w:before="108" w:after="108"/>
      <w:jc w:val="center"/>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642"/>
    <w:rPr>
      <w:rFonts w:ascii="Cambria" w:hAnsi="Cambria" w:cs="Cambria"/>
      <w:b/>
      <w:bCs/>
      <w:kern w:val="32"/>
      <w:sz w:val="32"/>
      <w:szCs w:val="32"/>
      <w:lang w:eastAsia="en-US"/>
    </w:rPr>
  </w:style>
  <w:style w:type="paragraph" w:customStyle="1" w:styleId="a">
    <w:name w:val="Таблицы (моноширинный)"/>
    <w:basedOn w:val="Normal"/>
    <w:next w:val="Normal"/>
    <w:uiPriority w:val="99"/>
    <w:rsid w:val="00510512"/>
    <w:pPr>
      <w:suppressAutoHyphens/>
      <w:autoSpaceDE w:val="0"/>
      <w:jc w:val="both"/>
    </w:pPr>
    <w:rPr>
      <w:rFonts w:ascii="Courier New" w:eastAsia="Calibri" w:hAnsi="Courier New" w:cs="Courier New"/>
      <w:sz w:val="20"/>
      <w:szCs w:val="20"/>
      <w:lang w:eastAsia="ar-SA"/>
    </w:rPr>
  </w:style>
  <w:style w:type="paragraph" w:customStyle="1" w:styleId="CharChar">
    <w:name w:val="Char Char"/>
    <w:basedOn w:val="Normal"/>
    <w:uiPriority w:val="99"/>
    <w:rsid w:val="00510512"/>
    <w:pPr>
      <w:spacing w:after="160" w:line="240" w:lineRule="exact"/>
    </w:pPr>
    <w:rPr>
      <w:rFonts w:ascii="Verdana" w:eastAsia="Calibri" w:hAnsi="Verdana" w:cs="Verdana"/>
      <w:sz w:val="20"/>
      <w:szCs w:val="20"/>
      <w:lang w:val="en-US" w:eastAsia="en-US"/>
    </w:rPr>
  </w:style>
  <w:style w:type="character" w:customStyle="1" w:styleId="a0">
    <w:name w:val="Цветовое выделение"/>
    <w:uiPriority w:val="99"/>
    <w:rsid w:val="00510512"/>
    <w:rPr>
      <w:b/>
      <w:bCs/>
      <w:color w:val="000080"/>
    </w:rPr>
  </w:style>
  <w:style w:type="table" w:styleId="TableGrid">
    <w:name w:val="Table Grid"/>
    <w:basedOn w:val="TableNormal"/>
    <w:uiPriority w:val="99"/>
    <w:locked/>
    <w:rsid w:val="001D31A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006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638</Words>
  <Characters>3641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koms_okc1</dc:creator>
  <cp:keywords/>
  <dc:description/>
  <cp:lastModifiedBy>1</cp:lastModifiedBy>
  <cp:revision>3</cp:revision>
  <dcterms:created xsi:type="dcterms:W3CDTF">2020-03-05T11:56:00Z</dcterms:created>
  <dcterms:modified xsi:type="dcterms:W3CDTF">2020-03-24T11:22:00Z</dcterms:modified>
</cp:coreProperties>
</file>