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26"/>
        <w:tblW w:w="14235" w:type="dxa"/>
        <w:tblLook w:val="04A0"/>
      </w:tblPr>
      <w:tblGrid>
        <w:gridCol w:w="250"/>
        <w:gridCol w:w="3969"/>
        <w:gridCol w:w="2268"/>
        <w:gridCol w:w="3686"/>
        <w:gridCol w:w="920"/>
        <w:gridCol w:w="3142"/>
      </w:tblGrid>
      <w:tr w:rsidR="006C3FDB" w:rsidTr="006C3FDB">
        <w:trPr>
          <w:cantSplit/>
          <w:trHeight w:val="420"/>
        </w:trPr>
        <w:tc>
          <w:tcPr>
            <w:tcW w:w="250" w:type="dxa"/>
          </w:tcPr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3969" w:type="dxa"/>
            <w:hideMark/>
          </w:tcPr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2268" w:type="dxa"/>
          </w:tcPr>
          <w:p w:rsidR="006C3FDB" w:rsidRDefault="006C3FDB">
            <w:pPr>
              <w:rPr>
                <w:rFonts w:ascii="Arial Cyr Chuv" w:hAnsi="Arial Cyr Chuv"/>
              </w:rPr>
            </w:pPr>
          </w:p>
          <w:p w:rsidR="006C3FDB" w:rsidRDefault="006C3FDB">
            <w:pPr>
              <w:spacing w:before="40"/>
              <w:rPr>
                <w:rFonts w:ascii="Arial Cyr Chuv" w:hAnsi="Arial Cyr Chuv"/>
              </w:rPr>
            </w:pPr>
          </w:p>
        </w:tc>
        <w:tc>
          <w:tcPr>
            <w:tcW w:w="3686" w:type="dxa"/>
            <w:hideMark/>
          </w:tcPr>
          <w:p w:rsidR="006C3FDB" w:rsidRDefault="006C3FDB">
            <w:pPr>
              <w:pStyle w:val="a5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6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  <w:tc>
          <w:tcPr>
            <w:tcW w:w="920" w:type="dxa"/>
            <w:vMerge w:val="restart"/>
          </w:tcPr>
          <w:p w:rsidR="006C3FDB" w:rsidRDefault="006C3FDB">
            <w:pPr>
              <w:spacing w:before="40"/>
              <w:rPr>
                <w:rFonts w:ascii="Arial Cyr Chuv" w:hAnsi="Arial Cyr Chuv"/>
                <w:sz w:val="26"/>
              </w:rPr>
            </w:pPr>
          </w:p>
        </w:tc>
        <w:tc>
          <w:tcPr>
            <w:tcW w:w="3142" w:type="dxa"/>
          </w:tcPr>
          <w:p w:rsidR="006C3FDB" w:rsidRDefault="006C3FDB">
            <w:pPr>
              <w:pStyle w:val="a5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</w:p>
        </w:tc>
      </w:tr>
      <w:tr w:rsidR="006C3FDB" w:rsidTr="006C3FDB">
        <w:trPr>
          <w:cantSplit/>
          <w:trHeight w:val="2355"/>
        </w:trPr>
        <w:tc>
          <w:tcPr>
            <w:tcW w:w="250" w:type="dxa"/>
          </w:tcPr>
          <w:p w:rsidR="006C3FDB" w:rsidRDefault="006C3FDB">
            <w:pPr>
              <w:spacing w:before="40"/>
              <w:rPr>
                <w:rFonts w:ascii="Arial Cyr Chuv" w:hAnsi="Arial Cyr Chuv"/>
                <w:noProof/>
                <w:color w:val="000000"/>
                <w:sz w:val="26"/>
              </w:rPr>
            </w:pPr>
          </w:p>
        </w:tc>
        <w:tc>
          <w:tcPr>
            <w:tcW w:w="3969" w:type="dxa"/>
            <w:hideMark/>
          </w:tcPr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АНАТ ЧАТКАС </w:t>
            </w:r>
          </w:p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Style w:val="a6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6C3FDB" w:rsidRDefault="006C3FDB">
            <w:pPr>
              <w:pStyle w:val="a5"/>
              <w:tabs>
                <w:tab w:val="left" w:pos="4285"/>
              </w:tabs>
              <w:spacing w:before="40"/>
              <w:jc w:val="center"/>
              <w:rPr>
                <w:rStyle w:val="a6"/>
                <w:rFonts w:cs="Times New Roman"/>
                <w:noProof/>
                <w:color w:val="000000"/>
                <w:sz w:val="26"/>
              </w:rPr>
            </w:pP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6C3FDB" w:rsidRDefault="006C3FDB">
            <w:pPr>
              <w:spacing w:before="40"/>
              <w:rPr>
                <w:rFonts w:ascii="Arial Cyr Chuv" w:hAnsi="Arial Cyr Chuv"/>
                <w:sz w:val="24"/>
                <w:szCs w:val="24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«24» раштав 2019с   №60</w:t>
            </w:r>
          </w:p>
          <w:p w:rsidR="006C3FDB" w:rsidRDefault="006C3FDB">
            <w:pPr>
              <w:spacing w:before="40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 Чаткас яле.</w:t>
            </w:r>
          </w:p>
        </w:tc>
        <w:tc>
          <w:tcPr>
            <w:tcW w:w="2268" w:type="dxa"/>
            <w:vAlign w:val="center"/>
          </w:tcPr>
          <w:p w:rsidR="006C3FDB" w:rsidRDefault="006C3FDB">
            <w:pPr>
              <w:rPr>
                <w:rFonts w:ascii="Arial Cyr Chuv" w:hAnsi="Arial Cyr Chuv"/>
              </w:rPr>
            </w:pPr>
          </w:p>
        </w:tc>
        <w:tc>
          <w:tcPr>
            <w:tcW w:w="3686" w:type="dxa"/>
            <w:hideMark/>
          </w:tcPr>
          <w:p w:rsidR="006C3FDB" w:rsidRDefault="006C3FDB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6C3FDB" w:rsidRDefault="006C3FDB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6C3FDB" w:rsidRDefault="006C3FDB">
            <w:pPr>
              <w:pStyle w:val="a5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6C3FDB" w:rsidRDefault="006C3FDB">
            <w:pPr>
              <w:pStyle w:val="a5"/>
              <w:spacing w:before="40"/>
              <w:jc w:val="center"/>
              <w:rPr>
                <w:rStyle w:val="a6"/>
                <w:color w:val="000000"/>
              </w:rPr>
            </w:pPr>
            <w:r>
              <w:rPr>
                <w:rStyle w:val="a6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6C3FDB" w:rsidRDefault="006C3FDB">
            <w:pPr>
              <w:pStyle w:val="a5"/>
              <w:spacing w:before="40"/>
              <w:jc w:val="center"/>
            </w:pPr>
            <w:r>
              <w:rPr>
                <w:rFonts w:ascii="Arial Cyr Chuv" w:hAnsi="Arial Cyr Chuv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«24» декабря</w:t>
            </w:r>
            <w:r>
              <w:rPr>
                <w:rFonts w:ascii="Arial Cyr Chuv" w:hAnsi="Arial Cyr Chuv" w:cs="Times New Roman"/>
                <w:noProof/>
                <w:sz w:val="24"/>
                <w:szCs w:val="24"/>
              </w:rPr>
              <w:t xml:space="preserve">   2019г №60</w:t>
            </w:r>
          </w:p>
          <w:p w:rsidR="006C3FDB" w:rsidRDefault="006C3FDB">
            <w:pPr>
              <w:spacing w:before="40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  <w:tc>
          <w:tcPr>
            <w:tcW w:w="0" w:type="auto"/>
            <w:vMerge/>
            <w:vAlign w:val="center"/>
            <w:hideMark/>
          </w:tcPr>
          <w:p w:rsidR="006C3FDB" w:rsidRDefault="006C3FDB">
            <w:pPr>
              <w:rPr>
                <w:rFonts w:ascii="Arial Cyr Chuv" w:hAnsi="Arial Cyr Chuv"/>
                <w:sz w:val="26"/>
              </w:rPr>
            </w:pPr>
          </w:p>
        </w:tc>
        <w:tc>
          <w:tcPr>
            <w:tcW w:w="3142" w:type="dxa"/>
          </w:tcPr>
          <w:p w:rsidR="006C3FDB" w:rsidRDefault="006C3FDB">
            <w:pPr>
              <w:spacing w:before="40"/>
              <w:ind w:firstLine="444"/>
              <w:rPr>
                <w:rFonts w:ascii="Arial Cyr Chuv" w:hAnsi="Arial Cyr Chuv"/>
                <w:noProof/>
                <w:sz w:val="26"/>
              </w:rPr>
            </w:pPr>
          </w:p>
        </w:tc>
      </w:tr>
    </w:tbl>
    <w:p w:rsidR="006C3FDB" w:rsidRDefault="006C3FDB" w:rsidP="006C3F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-502920</wp:posOffset>
            </wp:positionV>
            <wp:extent cx="720090" cy="72009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</w:p>
    <w:p w:rsidR="006C3FDB" w:rsidRDefault="006C3FDB" w:rsidP="006C3FDB">
      <w:pPr>
        <w:jc w:val="both"/>
        <w:outlineLvl w:val="0"/>
        <w:rPr>
          <w:sz w:val="22"/>
          <w:szCs w:val="22"/>
        </w:rPr>
      </w:pP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О    мерах   по    реализации       решения     Собрания </w:t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депутатов   Чепкас-Никольского сельского поселения  </w:t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«О    внесении     изменений    в   решение    Собрания  </w:t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депутатов   Чепкас-Никольского сельского поселения </w:t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«О бюджете Чепкас-Никольского сельского поселения</w:t>
      </w: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Шемуршинского    района  Чувашской Республики </w:t>
      </w:r>
      <w:proofErr w:type="gramStart"/>
      <w:r>
        <w:rPr>
          <w:sz w:val="22"/>
          <w:szCs w:val="22"/>
        </w:rPr>
        <w:t>на</w:t>
      </w:r>
      <w:proofErr w:type="gramEnd"/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2019 год и на плановый период 2020 и 2021 годов »     </w:t>
      </w:r>
    </w:p>
    <w:p w:rsidR="006C3FDB" w:rsidRDefault="006C3FDB" w:rsidP="006C3FD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6C3FDB" w:rsidRDefault="006C3FDB" w:rsidP="006C3FDB">
      <w:pPr>
        <w:pStyle w:val="a3"/>
        <w:rPr>
          <w:sz w:val="22"/>
          <w:szCs w:val="22"/>
        </w:rPr>
      </w:pPr>
    </w:p>
    <w:p w:rsidR="006C3FDB" w:rsidRDefault="006C3FDB" w:rsidP="006C3FD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В соответствии с  решением   Собрания депутатов Чепкас-Никольского сельского поселения Шемуршинского района Чувашской Республики «О внесении изменений в решение Собрания  депутатов Чепкас-Никольского сельского поселения «О бюджете Чепкас-Никольского сельского поселения Шемуршинского района Чувашской Республики на 2019 год и на плановый период 2020 и 2021 годов»  </w:t>
      </w:r>
      <w:proofErr w:type="spellStart"/>
      <w:proofErr w:type="gramStart"/>
      <w:r>
        <w:rPr>
          <w:sz w:val="22"/>
          <w:szCs w:val="22"/>
        </w:rPr>
        <w:t>п</w:t>
      </w:r>
      <w:proofErr w:type="spellEnd"/>
      <w:proofErr w:type="gramEnd"/>
      <w:r>
        <w:rPr>
          <w:sz w:val="22"/>
          <w:szCs w:val="22"/>
        </w:rPr>
        <w:t xml:space="preserve"> о с т а </w:t>
      </w:r>
      <w:proofErr w:type="spellStart"/>
      <w:r>
        <w:rPr>
          <w:sz w:val="22"/>
          <w:szCs w:val="22"/>
        </w:rPr>
        <w:t>н</w:t>
      </w:r>
      <w:proofErr w:type="spellEnd"/>
      <w:r>
        <w:rPr>
          <w:sz w:val="22"/>
          <w:szCs w:val="22"/>
        </w:rPr>
        <w:t xml:space="preserve"> о в л я ю:</w:t>
      </w: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1. </w:t>
      </w:r>
      <w:proofErr w:type="gramStart"/>
      <w:r>
        <w:rPr>
          <w:sz w:val="22"/>
          <w:szCs w:val="22"/>
        </w:rPr>
        <w:t>Принять  к  исполнению бюджет Чепкас-Никольского сельского поселения Шемуршинского района Чувашской Республики на 2019 год и на плановый период 2020 и 2021 годов с учетом изменений, внесенных  решением Собрания депутатов Чепкас-Никольского сельского поселения Шемуршинского района Чувашской Республики 05декабря 2019 г. №2 «О внесении изменений в решение Собрания  депутатов Чепкас-Никольского сельского поселения «О бюджете Чепкас-Никольского сельского поселения Шемуршинского района Чувашской Республики на</w:t>
      </w:r>
      <w:proofErr w:type="gramEnd"/>
      <w:r>
        <w:rPr>
          <w:sz w:val="22"/>
          <w:szCs w:val="22"/>
        </w:rPr>
        <w:t xml:space="preserve"> 2019 год и на плановый период 2020 и 2021 годов» (далее – бюджет Чепкас-Никольского сельского поселения).</w:t>
      </w: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2. Финансовому отделу администрации Шемуршинского района Чувашской Республики (по согласованию)  внести соответствующие изменения в сводную бюджетную роспись бюджета Чепкас-Никольского сельского поселения на 2019 год и на плановый период 2020 и 2021 годов, кассовый план исполнения бюджета  Чепкас-Никольского сельского поселения на 2019 год и на плановый период 2020 и 2021 годов. </w:t>
      </w: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3. </w:t>
      </w:r>
      <w:proofErr w:type="gramStart"/>
      <w:r>
        <w:rPr>
          <w:sz w:val="22"/>
          <w:szCs w:val="22"/>
        </w:rPr>
        <w:t>Казенному учреждению «Централизованная бухгалтерия Шемуршинского района» (по согласованию) внести соответствующие уточнения в показатели бюджетных смет муниципальных учреждений  Чепкас-Никольского  сельского поселения на 2019 год и на плановый период 2020 и 2021 годов и в трехдневный срок представить указанные изменения, а также предложения по уточнению показателей кассового плана исполнения бюджета Чепкас-Никольского сельского поселения на 2019 год и на плановый период 2020 и</w:t>
      </w:r>
      <w:proofErr w:type="gramEnd"/>
      <w:r>
        <w:rPr>
          <w:sz w:val="22"/>
          <w:szCs w:val="22"/>
        </w:rPr>
        <w:t xml:space="preserve"> 2021 годов в финансовый отдел администрации Шемуршинского района Чувашской Республики.</w:t>
      </w: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4. Настоящее постановление вступает в силу с момента его подписания.  </w:t>
      </w:r>
    </w:p>
    <w:p w:rsidR="006C3FDB" w:rsidRDefault="006C3FDB" w:rsidP="006C3FDB">
      <w:pPr>
        <w:jc w:val="both"/>
        <w:rPr>
          <w:sz w:val="22"/>
          <w:szCs w:val="22"/>
        </w:rPr>
      </w:pP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6C3FDB" w:rsidRDefault="006C3FDB" w:rsidP="006C3FDB">
      <w:pPr>
        <w:jc w:val="both"/>
        <w:rPr>
          <w:sz w:val="22"/>
          <w:szCs w:val="22"/>
        </w:rPr>
      </w:pP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администрации Чепкас-Никольского сельского поселения</w:t>
      </w:r>
    </w:p>
    <w:p w:rsidR="006C3FDB" w:rsidRDefault="006C3FDB" w:rsidP="006C3F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Шемуршинского района Чувашской Республики                                   </w:t>
      </w:r>
      <w:r w:rsidR="003B1E82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>Л.Н.Петрова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FDB"/>
    <w:rsid w:val="000A4F91"/>
    <w:rsid w:val="003B1E82"/>
    <w:rsid w:val="003B510B"/>
    <w:rsid w:val="00493B5A"/>
    <w:rsid w:val="004F7A0B"/>
    <w:rsid w:val="00664487"/>
    <w:rsid w:val="006C3FDB"/>
    <w:rsid w:val="007A418B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DB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C3FD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6C3F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6C3FDB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Цветовое выделение"/>
    <w:rsid w:val="006C3FD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2514</Characters>
  <Application>Microsoft Office Word</Application>
  <DocSecurity>0</DocSecurity>
  <Lines>20</Lines>
  <Paragraphs>5</Paragraphs>
  <ScaleCrop>false</ScaleCrop>
  <Company>RePack by SPecialiST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2019-12-26T08:51:00Z</dcterms:created>
  <dcterms:modified xsi:type="dcterms:W3CDTF">2020-01-14T07:05:00Z</dcterms:modified>
</cp:coreProperties>
</file>