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10" w:rsidRDefault="006C7F10" w:rsidP="006C7F10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6C7F10" w:rsidRDefault="006C7F10" w:rsidP="006C7F10">
      <w:r w:rsidRPr="00DE1001">
        <w:t> </w:t>
      </w:r>
    </w:p>
    <w:p w:rsidR="006C7F10" w:rsidRDefault="006C7F10" w:rsidP="006C7F10"/>
    <w:tbl>
      <w:tblPr>
        <w:tblpPr w:leftFromText="180" w:rightFromText="180" w:vertAnchor="page" w:horzAnchor="margin" w:tblpX="-252" w:tblpY="540"/>
        <w:tblW w:w="10080" w:type="dxa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6C7F10" w:rsidRPr="00AB2FF8" w:rsidTr="00393A4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C7F10" w:rsidRDefault="006C7F10" w:rsidP="006C7F10">
            <w:pPr>
              <w:pStyle w:val="1"/>
              <w:keepNext/>
              <w:numPr>
                <w:ilvl w:val="0"/>
                <w:numId w:val="4"/>
              </w:numPr>
              <w:tabs>
                <w:tab w:val="left" w:pos="2025"/>
              </w:tabs>
              <w:suppressAutoHyphens/>
              <w:snapToGrid w:val="0"/>
              <w:spacing w:before="0" w:beforeAutospacing="0" w:after="0" w:afterAutospacing="0"/>
              <w:ind w:left="-360" w:right="72"/>
              <w:jc w:val="center"/>
              <w:rPr>
                <w:bCs w:val="0"/>
                <w:iCs/>
                <w:sz w:val="24"/>
              </w:rPr>
            </w:pPr>
          </w:p>
          <w:p w:rsidR="006C7F10" w:rsidRDefault="006C7F10" w:rsidP="00393A4D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6C7F10" w:rsidRDefault="006C7F10" w:rsidP="00393A4D">
            <w:pPr>
              <w:ind w:left="-360" w:right="72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6C7F10" w:rsidRDefault="006C7F10" w:rsidP="00393A4D">
            <w:pPr>
              <w:ind w:left="-357" w:right="74"/>
              <w:jc w:val="center"/>
            </w:pPr>
            <w:r>
              <w:rPr>
                <w:rFonts w:ascii="Arial Cyr Chuv" w:eastAsia="Arial Cyr Chuv" w:hAnsi="Arial Cyr Chuv" w:cs="Arial Cyr Chuv"/>
                <w:b/>
                <w:bCs/>
              </w:rPr>
              <w:t xml:space="preserve">  К</w:t>
            </w:r>
            <w:r>
              <w:rPr>
                <w:rFonts w:ascii="Arial Cyr Chuv" w:hAnsi="Arial Cyr Chuv" w:cs="Arial Cyr Chuv"/>
                <w:b/>
                <w:bCs/>
              </w:rPr>
              <w:t>.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=.н</w:t>
            </w:r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Таяпа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6C7F10" w:rsidRDefault="006C7F10" w:rsidP="00393A4D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6C7F10" w:rsidRDefault="006C7F10" w:rsidP="00393A4D">
            <w:pPr>
              <w:ind w:left="-360" w:right="72"/>
              <w:jc w:val="center"/>
            </w:pPr>
            <w:r>
              <w:rPr>
                <w:rFonts w:ascii="Arial Cyr Chuv" w:eastAsia="Arial Cyr Chuv" w:hAnsi="Arial Cyr Chuv" w:cs="Arial Cyr Chuv"/>
              </w:rPr>
              <w:t xml:space="preserve"> </w:t>
            </w:r>
            <w:r>
              <w:rPr>
                <w:rFonts w:ascii="Arial Cyr Chuv" w:hAnsi="Arial Cyr Chuv" w:cs="Arial Cyr Chuv"/>
              </w:rPr>
              <w:t>2018 =</w:t>
            </w:r>
            <w:r>
              <w:t xml:space="preserve">. 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мартё</w:t>
            </w:r>
            <w:r>
              <w:rPr>
                <w:rFonts w:ascii="Arial Cyr Chuv" w:hAnsi="Arial Cyr Chuv" w:cs="Arial Cyr Chuv"/>
              </w:rPr>
              <w:t>н</w:t>
            </w:r>
            <w:proofErr w:type="spellEnd"/>
            <w:r>
              <w:rPr>
                <w:rFonts w:ascii="Arial Cyr Chuv" w:hAnsi="Arial Cyr Chuv" w:cs="Arial Cyr Chuv"/>
              </w:rPr>
              <w:t xml:space="preserve"> </w:t>
            </w:r>
            <w:r>
              <w:rPr>
                <w:rFonts w:ascii="Arial Cyr Chuv" w:hAnsi="Arial Cyr Chuv" w:cs="Arial Cyr Chuv"/>
              </w:rPr>
              <w:t>20</w:t>
            </w:r>
            <w:r>
              <w:rPr>
                <w:rFonts w:ascii="Arial Cyr Chuv" w:hAnsi="Arial Cyr Chuv" w:cs="Arial Cyr Chuv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</w:rPr>
              <w:t>м.ш</w:t>
            </w:r>
            <w:proofErr w:type="spellEnd"/>
            <w:r>
              <w:rPr>
                <w:rFonts w:ascii="Arial Cyr Chuv" w:hAnsi="Arial Cyr Chuv" w:cs="Arial Cyr Chuv"/>
              </w:rPr>
              <w:t>. №2</w:t>
            </w:r>
            <w:r>
              <w:rPr>
                <w:rFonts w:ascii="Arial Cyr Chuv" w:hAnsi="Arial Cyr Chuv" w:cs="Arial Cyr Chuv"/>
              </w:rPr>
              <w:t>6</w:t>
            </w:r>
            <w:r>
              <w:t>/1</w:t>
            </w:r>
            <w:r>
              <w:rPr>
                <w:rFonts w:ascii="Arial Cyr Chuv" w:hAnsi="Arial Cyr Chuv" w:cs="Arial Cyr Chuv"/>
              </w:rPr>
              <w:t xml:space="preserve"> </w:t>
            </w:r>
          </w:p>
          <w:p w:rsidR="006C7F10" w:rsidRPr="00AB2FF8" w:rsidRDefault="006C7F10" w:rsidP="006C7F1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>К</w:t>
            </w:r>
            <w:r w:rsidRPr="00AB2FF8">
              <w:rPr>
                <w:rFonts w:ascii="Arial Cyr Chuv" w:hAnsi="Arial Cyr Chuv" w:cs="Arial Cyr Chuv"/>
                <w:sz w:val="20"/>
                <w:szCs w:val="20"/>
              </w:rPr>
              <w:t>.</w:t>
            </w:r>
            <w:proofErr w:type="gramStart"/>
            <w:r>
              <w:rPr>
                <w:rFonts w:ascii="Arial Cyr Chuv" w:hAnsi="Arial Cyr Chuv" w:cs="Arial Cyr Chuv"/>
                <w:sz w:val="20"/>
                <w:szCs w:val="20"/>
              </w:rPr>
              <w:t>=.н</w:t>
            </w:r>
            <w:proofErr w:type="gram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Таяпа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r w:rsidRPr="00AB2FF8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440" w:type="dxa"/>
          </w:tcPr>
          <w:p w:rsidR="006C7F10" w:rsidRDefault="006C7F10" w:rsidP="00393A4D">
            <w:pPr>
              <w:jc w:val="center"/>
              <w:rPr>
                <w:bCs/>
                <w:iCs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742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C7F10" w:rsidRDefault="006C7F10" w:rsidP="006C7F10">
            <w:pPr>
              <w:pStyle w:val="1"/>
              <w:keepNext/>
              <w:numPr>
                <w:ilvl w:val="0"/>
                <w:numId w:val="4"/>
              </w:numPr>
              <w:suppressAutoHyphens/>
              <w:spacing w:before="0" w:beforeAutospacing="0" w:after="0" w:afterAutospacing="0"/>
              <w:ind w:left="-360" w:right="72"/>
              <w:jc w:val="center"/>
            </w:pPr>
            <w:r>
              <w:rPr>
                <w:rFonts w:eastAsia="Arial Cyr Chuv"/>
                <w:sz w:val="24"/>
              </w:rPr>
              <w:t xml:space="preserve">      </w:t>
            </w:r>
          </w:p>
          <w:p w:rsidR="006C7F10" w:rsidRDefault="006C7F10" w:rsidP="00393A4D">
            <w:pPr>
              <w:ind w:left="-360" w:right="72"/>
              <w:jc w:val="center"/>
            </w:pPr>
            <w:proofErr w:type="gramStart"/>
            <w:r>
              <w:rPr>
                <w:rFonts w:ascii="Arial Cyr Chuv" w:hAnsi="Arial Cyr Chuv"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Яльчикский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</w:p>
          <w:p w:rsidR="006C7F10" w:rsidRDefault="006C7F10" w:rsidP="00393A4D">
            <w:pPr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 xml:space="preserve">Собрание депутатов </w:t>
            </w:r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Малотаябинского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</w:p>
          <w:p w:rsidR="006C7F10" w:rsidRDefault="006C7F10" w:rsidP="00393A4D">
            <w:pPr>
              <w:spacing w:line="360" w:lineRule="auto"/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6C7F10" w:rsidRDefault="006C7F10" w:rsidP="006C7F10">
            <w:pPr>
              <w:pStyle w:val="1"/>
              <w:keepNext/>
              <w:numPr>
                <w:ilvl w:val="0"/>
                <w:numId w:val="4"/>
              </w:numPr>
              <w:suppressAutoHyphens/>
              <w:spacing w:before="0" w:beforeAutospacing="0" w:after="0" w:afterAutospacing="0" w:line="360" w:lineRule="auto"/>
              <w:ind w:left="-357" w:right="74"/>
              <w:jc w:val="center"/>
            </w:pPr>
            <w:r>
              <w:rPr>
                <w:b w:val="0"/>
                <w:sz w:val="24"/>
              </w:rPr>
              <w:t>РЕШЕНИЕ</w:t>
            </w:r>
          </w:p>
          <w:p w:rsidR="006C7F10" w:rsidRDefault="006C7F10" w:rsidP="00393A4D">
            <w:pPr>
              <w:ind w:left="-360" w:right="72"/>
              <w:jc w:val="center"/>
            </w:pPr>
            <w:r>
              <w:rPr>
                <w:rFonts w:ascii="Arial Cyr Chuv" w:eastAsia="Arial Cyr Chuv" w:hAnsi="Arial Cyr Chuv" w:cs="Arial Cyr Chuv"/>
              </w:rPr>
              <w:t xml:space="preserve">      </w:t>
            </w:r>
            <w:r>
              <w:t>«</w:t>
            </w:r>
            <w:r>
              <w:t>20</w:t>
            </w:r>
            <w:r>
              <w:t xml:space="preserve">» </w:t>
            </w:r>
            <w:r>
              <w:t>марта</w:t>
            </w:r>
            <w:r>
              <w:t xml:space="preserve"> 2018 г. №2</w:t>
            </w:r>
            <w:r>
              <w:t>6</w:t>
            </w:r>
            <w:r>
              <w:t xml:space="preserve">/1 </w:t>
            </w:r>
          </w:p>
          <w:p w:rsidR="006C7F10" w:rsidRPr="00AB2FF8" w:rsidRDefault="006C7F10" w:rsidP="00393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Малая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6C7F10" w:rsidRDefault="006C7F10" w:rsidP="006C7F10">
      <w:pPr>
        <w:jc w:val="both"/>
        <w:rPr>
          <w:sz w:val="26"/>
          <w:szCs w:val="26"/>
        </w:rPr>
      </w:pPr>
    </w:p>
    <w:p w:rsidR="006C7F10" w:rsidRPr="00303159" w:rsidRDefault="006C7F10" w:rsidP="006C7F10">
      <w:pPr>
        <w:rPr>
          <w:sz w:val="26"/>
          <w:szCs w:val="26"/>
        </w:rPr>
      </w:pPr>
      <w:r w:rsidRPr="00303159">
        <w:rPr>
          <w:sz w:val="26"/>
          <w:szCs w:val="26"/>
        </w:rPr>
        <w:t xml:space="preserve">Об утверждении местных нормативов </w:t>
      </w:r>
    </w:p>
    <w:p w:rsidR="006C7F10" w:rsidRPr="00303159" w:rsidRDefault="006C7F10" w:rsidP="006C7F10">
      <w:pPr>
        <w:rPr>
          <w:sz w:val="26"/>
          <w:szCs w:val="26"/>
        </w:rPr>
      </w:pPr>
      <w:r w:rsidRPr="00303159">
        <w:rPr>
          <w:sz w:val="26"/>
          <w:szCs w:val="26"/>
        </w:rPr>
        <w:t>градостроительного проектирования</w:t>
      </w:r>
    </w:p>
    <w:p w:rsidR="006C7F10" w:rsidRPr="00303159" w:rsidRDefault="00190028" w:rsidP="006C7F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Малотаябинского</w:t>
      </w:r>
      <w:proofErr w:type="spellEnd"/>
      <w:r w:rsidR="006C7F10" w:rsidRPr="00303159">
        <w:rPr>
          <w:sz w:val="26"/>
          <w:szCs w:val="26"/>
        </w:rPr>
        <w:t xml:space="preserve"> сельского поселения</w:t>
      </w:r>
    </w:p>
    <w:p w:rsidR="006C7F10" w:rsidRPr="00303159" w:rsidRDefault="006C7F10" w:rsidP="006C7F10">
      <w:pPr>
        <w:rPr>
          <w:sz w:val="26"/>
          <w:szCs w:val="26"/>
        </w:rPr>
      </w:pPr>
      <w:proofErr w:type="spellStart"/>
      <w:r w:rsidRPr="00303159">
        <w:rPr>
          <w:sz w:val="26"/>
          <w:szCs w:val="26"/>
        </w:rPr>
        <w:t>Яльчикского</w:t>
      </w:r>
      <w:proofErr w:type="spellEnd"/>
      <w:r w:rsidRPr="00303159">
        <w:rPr>
          <w:sz w:val="26"/>
          <w:szCs w:val="26"/>
        </w:rPr>
        <w:t xml:space="preserve"> района Чувашской Республики</w:t>
      </w:r>
    </w:p>
    <w:p w:rsidR="006C7F10" w:rsidRPr="00303159" w:rsidRDefault="006C7F10" w:rsidP="006C7F10">
      <w:pPr>
        <w:rPr>
          <w:sz w:val="26"/>
          <w:szCs w:val="26"/>
        </w:rPr>
      </w:pPr>
    </w:p>
    <w:p w:rsidR="006C7F10" w:rsidRPr="00303159" w:rsidRDefault="006C7F10" w:rsidP="006C7F10">
      <w:pPr>
        <w:rPr>
          <w:sz w:val="26"/>
          <w:szCs w:val="26"/>
        </w:rPr>
      </w:pPr>
    </w:p>
    <w:p w:rsidR="006C7F10" w:rsidRPr="00303159" w:rsidRDefault="006C7F10" w:rsidP="006C7F10">
      <w:pPr>
        <w:jc w:val="both"/>
        <w:rPr>
          <w:sz w:val="26"/>
          <w:szCs w:val="26"/>
        </w:rPr>
      </w:pPr>
      <w:r w:rsidRPr="00303159">
        <w:rPr>
          <w:sz w:val="26"/>
          <w:szCs w:val="26"/>
        </w:rPr>
        <w:t>    В соответствии со </w:t>
      </w:r>
      <w:r w:rsidR="00190028">
        <w:rPr>
          <w:sz w:val="26"/>
          <w:szCs w:val="26"/>
        </w:rPr>
        <w:t>статьей 8</w:t>
      </w:r>
      <w:r w:rsidRPr="00303159">
        <w:rPr>
          <w:sz w:val="26"/>
          <w:szCs w:val="26"/>
        </w:rPr>
        <w:t xml:space="preserve"> Градостроительного кодекса Российской Федерации,   Федеральным законом  от 06.10.2003 г. № 131-ФЗ «Об общих принципах организации местного самоуправления в Российской Федерации», со статьей 3 Закона Чувашской Республики от 18.10.2004 г. № 19 «Об организации местного самоуправления в Чувашской Республике», Закона Чувашской Республики «О регулировании градостроительной деятельности в Чувашской Республике», Уставом </w:t>
      </w:r>
      <w:proofErr w:type="spellStart"/>
      <w:r w:rsidR="00190028">
        <w:rPr>
          <w:sz w:val="26"/>
          <w:szCs w:val="26"/>
        </w:rPr>
        <w:t>Малотаябинского</w:t>
      </w:r>
      <w:proofErr w:type="spellEnd"/>
      <w:r w:rsidRPr="00303159">
        <w:rPr>
          <w:sz w:val="26"/>
          <w:szCs w:val="26"/>
        </w:rPr>
        <w:t xml:space="preserve"> сельского поселения района </w:t>
      </w:r>
      <w:proofErr w:type="spellStart"/>
      <w:r w:rsidRPr="00303159">
        <w:rPr>
          <w:sz w:val="26"/>
          <w:szCs w:val="26"/>
        </w:rPr>
        <w:t>Яльчикского</w:t>
      </w:r>
      <w:proofErr w:type="spellEnd"/>
      <w:r w:rsidRPr="00303159">
        <w:rPr>
          <w:sz w:val="26"/>
          <w:szCs w:val="26"/>
        </w:rPr>
        <w:t xml:space="preserve"> района Чувашской Республики  Собрание депутатов  </w:t>
      </w:r>
      <w:proofErr w:type="spellStart"/>
      <w:r w:rsidR="00190028">
        <w:rPr>
          <w:sz w:val="26"/>
          <w:szCs w:val="26"/>
        </w:rPr>
        <w:t>Малотаябинского</w:t>
      </w:r>
      <w:proofErr w:type="spellEnd"/>
      <w:r w:rsidRPr="00303159">
        <w:rPr>
          <w:sz w:val="26"/>
          <w:szCs w:val="26"/>
        </w:rPr>
        <w:t xml:space="preserve">  сельского поселения </w:t>
      </w:r>
      <w:proofErr w:type="spellStart"/>
      <w:r w:rsidRPr="00303159">
        <w:rPr>
          <w:sz w:val="26"/>
          <w:szCs w:val="26"/>
        </w:rPr>
        <w:t>Яльчикского</w:t>
      </w:r>
      <w:proofErr w:type="spellEnd"/>
      <w:r w:rsidRPr="00303159">
        <w:rPr>
          <w:sz w:val="26"/>
          <w:szCs w:val="26"/>
        </w:rPr>
        <w:t xml:space="preserve"> района Чувашской Республики </w:t>
      </w:r>
      <w:r w:rsidRPr="00303159">
        <w:rPr>
          <w:b/>
          <w:sz w:val="26"/>
          <w:szCs w:val="26"/>
        </w:rPr>
        <w:t>РЕШИЛО</w:t>
      </w:r>
      <w:r w:rsidRPr="00303159">
        <w:rPr>
          <w:sz w:val="26"/>
          <w:szCs w:val="26"/>
        </w:rPr>
        <w:t>:</w:t>
      </w:r>
    </w:p>
    <w:p w:rsidR="006C7F10" w:rsidRPr="00303159" w:rsidRDefault="006C7F10" w:rsidP="006C7F10">
      <w:pPr>
        <w:jc w:val="both"/>
        <w:rPr>
          <w:rFonts w:eastAsia="Times New Roman"/>
          <w:sz w:val="26"/>
          <w:szCs w:val="26"/>
        </w:rPr>
      </w:pPr>
      <w:r w:rsidRPr="00303159">
        <w:rPr>
          <w:sz w:val="26"/>
          <w:szCs w:val="26"/>
        </w:rPr>
        <w:t> </w:t>
      </w:r>
    </w:p>
    <w:p w:rsidR="006C7F10" w:rsidRPr="006F1805" w:rsidRDefault="006C7F10" w:rsidP="006C7F10">
      <w:pPr>
        <w:suppressAutoHyphens/>
        <w:jc w:val="both"/>
        <w:rPr>
          <w:rFonts w:eastAsia="Times New Roman"/>
          <w:sz w:val="26"/>
          <w:szCs w:val="26"/>
          <w:lang w:eastAsia="zh-CN"/>
        </w:rPr>
      </w:pPr>
      <w:r w:rsidRPr="006F1805">
        <w:rPr>
          <w:rFonts w:eastAsia="Times New Roman"/>
          <w:sz w:val="26"/>
          <w:szCs w:val="26"/>
          <w:lang w:eastAsia="zh-CN"/>
        </w:rPr>
        <w:t xml:space="preserve">           1.</w:t>
      </w:r>
      <w:r>
        <w:rPr>
          <w:rFonts w:eastAsia="Times New Roman"/>
          <w:sz w:val="26"/>
          <w:szCs w:val="26"/>
          <w:lang w:eastAsia="zh-CN"/>
        </w:rPr>
        <w:t xml:space="preserve"> </w:t>
      </w:r>
      <w:r w:rsidRPr="006F1805">
        <w:rPr>
          <w:rFonts w:eastAsia="Times New Roman"/>
          <w:sz w:val="26"/>
          <w:szCs w:val="26"/>
          <w:lang w:eastAsia="zh-CN"/>
        </w:rPr>
        <w:t>Утвердить</w:t>
      </w:r>
      <w:r w:rsidRPr="006F1805">
        <w:rPr>
          <w:rFonts w:eastAsia="Times New Roman"/>
          <w:b/>
          <w:sz w:val="26"/>
          <w:szCs w:val="26"/>
          <w:lang w:eastAsia="zh-CN"/>
        </w:rPr>
        <w:t xml:space="preserve"> </w:t>
      </w:r>
      <w:r w:rsidRPr="006F1805">
        <w:rPr>
          <w:rFonts w:eastAsia="Times New Roman"/>
          <w:sz w:val="26"/>
          <w:szCs w:val="26"/>
          <w:lang w:eastAsia="zh-CN"/>
        </w:rPr>
        <w:t>прилагаемые</w:t>
      </w:r>
      <w:r w:rsidRPr="006F1805">
        <w:rPr>
          <w:rFonts w:eastAsia="Times New Roman"/>
          <w:b/>
          <w:sz w:val="26"/>
          <w:szCs w:val="26"/>
          <w:lang w:eastAsia="zh-CN"/>
        </w:rPr>
        <w:t xml:space="preserve"> </w:t>
      </w:r>
      <w:r w:rsidRPr="006F1805">
        <w:rPr>
          <w:rFonts w:eastAsia="Times New Roman"/>
          <w:sz w:val="26"/>
          <w:szCs w:val="26"/>
          <w:lang w:eastAsia="zh-CN"/>
        </w:rPr>
        <w:t xml:space="preserve">местные нормативы градостроительного       проектирования </w:t>
      </w:r>
      <w:proofErr w:type="spellStart"/>
      <w:r w:rsidR="00190028">
        <w:rPr>
          <w:rFonts w:eastAsia="Times New Roman"/>
          <w:sz w:val="26"/>
          <w:szCs w:val="26"/>
          <w:lang w:eastAsia="zh-CN"/>
        </w:rPr>
        <w:t>Малотаябинского</w:t>
      </w:r>
      <w:proofErr w:type="spellEnd"/>
      <w:r w:rsidRPr="006F1805">
        <w:rPr>
          <w:rFonts w:eastAsia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6F1805">
        <w:rPr>
          <w:rFonts w:eastAsia="Times New Roman"/>
          <w:sz w:val="26"/>
          <w:szCs w:val="26"/>
          <w:lang w:eastAsia="zh-CN"/>
        </w:rPr>
        <w:t>Яльчикского</w:t>
      </w:r>
      <w:proofErr w:type="spellEnd"/>
      <w:r w:rsidRPr="006F1805">
        <w:rPr>
          <w:rFonts w:eastAsia="Times New Roman"/>
          <w:sz w:val="26"/>
          <w:szCs w:val="26"/>
          <w:lang w:eastAsia="zh-CN"/>
        </w:rPr>
        <w:t xml:space="preserve"> района Чувашской Республики.</w:t>
      </w:r>
    </w:p>
    <w:p w:rsidR="006C7F10" w:rsidRPr="006F1805" w:rsidRDefault="006C7F10" w:rsidP="006C7F10">
      <w:pPr>
        <w:suppressAutoHyphens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zh-CN"/>
        </w:rPr>
      </w:pPr>
      <w:r w:rsidRPr="006F1805">
        <w:rPr>
          <w:rFonts w:eastAsia="Times New Roman"/>
          <w:sz w:val="26"/>
          <w:szCs w:val="26"/>
          <w:lang w:eastAsia="zh-CN"/>
        </w:rPr>
        <w:t xml:space="preserve">  </w:t>
      </w:r>
      <w:r>
        <w:rPr>
          <w:rFonts w:eastAsia="Times New Roman"/>
          <w:sz w:val="26"/>
          <w:szCs w:val="26"/>
          <w:lang w:eastAsia="zh-CN"/>
        </w:rPr>
        <w:t xml:space="preserve">         2. </w:t>
      </w:r>
      <w:r w:rsidRPr="006F1805">
        <w:rPr>
          <w:rFonts w:eastAsia="Times New Roman"/>
          <w:sz w:val="26"/>
          <w:szCs w:val="26"/>
          <w:lang w:eastAsia="zh-CN"/>
        </w:rPr>
        <w:t xml:space="preserve">Разместить настоящее решение на официальном сайте </w:t>
      </w:r>
      <w:proofErr w:type="spellStart"/>
      <w:proofErr w:type="gramStart"/>
      <w:r w:rsidR="00190028">
        <w:rPr>
          <w:rFonts w:eastAsia="Times New Roman"/>
          <w:sz w:val="26"/>
          <w:szCs w:val="26"/>
          <w:lang w:eastAsia="zh-CN"/>
        </w:rPr>
        <w:t>Малотаябинского</w:t>
      </w:r>
      <w:proofErr w:type="spellEnd"/>
      <w:r w:rsidRPr="006F1805">
        <w:rPr>
          <w:rFonts w:eastAsia="Times New Roman"/>
          <w:sz w:val="26"/>
          <w:szCs w:val="26"/>
          <w:lang w:eastAsia="zh-CN"/>
        </w:rPr>
        <w:t xml:space="preserve">  сельского</w:t>
      </w:r>
      <w:proofErr w:type="gramEnd"/>
      <w:r w:rsidRPr="006F1805">
        <w:rPr>
          <w:rFonts w:eastAsia="Times New Roman"/>
          <w:sz w:val="26"/>
          <w:szCs w:val="26"/>
          <w:lang w:eastAsia="zh-CN"/>
        </w:rPr>
        <w:t xml:space="preserve"> поселения в сети «Интернет».</w:t>
      </w:r>
    </w:p>
    <w:p w:rsidR="006C7F10" w:rsidRPr="006F1805" w:rsidRDefault="006C7F10" w:rsidP="006C7F10">
      <w:pPr>
        <w:suppressAutoHyphens/>
        <w:autoSpaceDE w:val="0"/>
        <w:autoSpaceDN w:val="0"/>
        <w:adjustRightInd w:val="0"/>
        <w:ind w:left="-142" w:firstLine="709"/>
        <w:jc w:val="both"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 xml:space="preserve"> </w:t>
      </w:r>
      <w:r w:rsidRPr="006F1805">
        <w:rPr>
          <w:rFonts w:eastAsia="Times New Roman"/>
          <w:sz w:val="26"/>
          <w:szCs w:val="26"/>
          <w:lang w:eastAsia="zh-CN"/>
        </w:rPr>
        <w:t xml:space="preserve">3. Решение Собрания депутатов </w:t>
      </w:r>
      <w:proofErr w:type="spellStart"/>
      <w:r w:rsidR="00190028">
        <w:rPr>
          <w:rFonts w:eastAsia="Times New Roman"/>
          <w:sz w:val="26"/>
          <w:szCs w:val="26"/>
          <w:lang w:eastAsia="zh-CN"/>
        </w:rPr>
        <w:t>Малотаябинского</w:t>
      </w:r>
      <w:proofErr w:type="spellEnd"/>
      <w:r w:rsidRPr="006F1805">
        <w:rPr>
          <w:rFonts w:eastAsia="Times New Roman"/>
          <w:sz w:val="26"/>
          <w:szCs w:val="26"/>
          <w:lang w:eastAsia="zh-CN"/>
        </w:rPr>
        <w:t xml:space="preserve"> сельского поселения от </w:t>
      </w:r>
      <w:r w:rsidR="00AD102A" w:rsidRPr="00AD102A">
        <w:rPr>
          <w:rFonts w:eastAsia="Times New Roman"/>
          <w:color w:val="000000" w:themeColor="text1"/>
          <w:sz w:val="26"/>
          <w:szCs w:val="26"/>
          <w:lang w:eastAsia="zh-CN"/>
        </w:rPr>
        <w:t>03</w:t>
      </w:r>
      <w:r w:rsidRPr="00AD102A">
        <w:rPr>
          <w:rFonts w:eastAsia="Times New Roman"/>
          <w:color w:val="000000" w:themeColor="text1"/>
          <w:sz w:val="26"/>
          <w:szCs w:val="26"/>
          <w:lang w:eastAsia="zh-CN"/>
        </w:rPr>
        <w:t xml:space="preserve"> дек</w:t>
      </w:r>
      <w:r w:rsidR="00AD102A" w:rsidRPr="00AD102A">
        <w:rPr>
          <w:rFonts w:eastAsia="Times New Roman"/>
          <w:color w:val="000000" w:themeColor="text1"/>
          <w:sz w:val="26"/>
          <w:szCs w:val="26"/>
          <w:lang w:eastAsia="zh-CN"/>
        </w:rPr>
        <w:t>абря 2014 года №42</w:t>
      </w:r>
      <w:r w:rsidRPr="00AD102A">
        <w:rPr>
          <w:rFonts w:eastAsia="Times New Roman"/>
          <w:color w:val="000000" w:themeColor="text1"/>
          <w:sz w:val="26"/>
          <w:szCs w:val="26"/>
          <w:lang w:eastAsia="zh-CN"/>
        </w:rPr>
        <w:t xml:space="preserve">/2 </w:t>
      </w:r>
      <w:r w:rsidRPr="006F1805">
        <w:rPr>
          <w:rFonts w:eastAsia="Times New Roman"/>
          <w:sz w:val="26"/>
          <w:szCs w:val="26"/>
          <w:lang w:eastAsia="zh-CN"/>
        </w:rPr>
        <w:t>считать утратившим силу.</w:t>
      </w:r>
    </w:p>
    <w:p w:rsidR="006C7F10" w:rsidRPr="006F1805" w:rsidRDefault="006C7F10" w:rsidP="006C7F10">
      <w:pPr>
        <w:suppressAutoHyphens/>
        <w:ind w:left="360" w:right="-282"/>
        <w:jc w:val="both"/>
        <w:rPr>
          <w:rFonts w:eastAsia="Times New Roman"/>
          <w:sz w:val="26"/>
          <w:szCs w:val="26"/>
          <w:lang w:eastAsia="zh-CN"/>
        </w:rPr>
      </w:pPr>
      <w:r w:rsidRPr="006F1805">
        <w:rPr>
          <w:rFonts w:eastAsia="Times New Roman"/>
          <w:sz w:val="26"/>
          <w:szCs w:val="26"/>
          <w:lang w:eastAsia="zh-CN"/>
        </w:rPr>
        <w:t xml:space="preserve">    4. Настоящее решение вступает в силу со дня его официального опубликования. </w:t>
      </w:r>
    </w:p>
    <w:p w:rsidR="006C7F10" w:rsidRPr="006F1805" w:rsidRDefault="006C7F10" w:rsidP="006C7F10">
      <w:pPr>
        <w:suppressAutoHyphens/>
        <w:jc w:val="both"/>
        <w:rPr>
          <w:rFonts w:eastAsia="Times New Roman"/>
          <w:sz w:val="26"/>
          <w:szCs w:val="26"/>
          <w:lang w:eastAsia="zh-CN"/>
        </w:rPr>
      </w:pPr>
      <w:bookmarkStart w:id="0" w:name="_GoBack"/>
      <w:bookmarkEnd w:id="0"/>
    </w:p>
    <w:p w:rsidR="006C7F10" w:rsidRPr="00303159" w:rsidRDefault="006C7F10" w:rsidP="006C7F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0028">
        <w:rPr>
          <w:sz w:val="26"/>
          <w:szCs w:val="26"/>
        </w:rPr>
        <w:t xml:space="preserve">      </w:t>
      </w:r>
      <w:r w:rsidRPr="00303159">
        <w:rPr>
          <w:sz w:val="26"/>
          <w:szCs w:val="26"/>
        </w:rPr>
        <w:t xml:space="preserve">Глава </w:t>
      </w:r>
      <w:proofErr w:type="spellStart"/>
      <w:r w:rsidR="00190028">
        <w:rPr>
          <w:sz w:val="26"/>
          <w:szCs w:val="26"/>
        </w:rPr>
        <w:t>Малотаябинского</w:t>
      </w:r>
      <w:proofErr w:type="spellEnd"/>
    </w:p>
    <w:p w:rsidR="006C7F10" w:rsidRPr="00303159" w:rsidRDefault="006C7F10" w:rsidP="006C7F10">
      <w:pPr>
        <w:rPr>
          <w:sz w:val="26"/>
          <w:szCs w:val="26"/>
        </w:rPr>
      </w:pPr>
      <w:r w:rsidRPr="003031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303159">
        <w:rPr>
          <w:sz w:val="26"/>
          <w:szCs w:val="26"/>
        </w:rPr>
        <w:t xml:space="preserve">сельского поселения                                        </w:t>
      </w:r>
      <w:r>
        <w:rPr>
          <w:sz w:val="26"/>
          <w:szCs w:val="26"/>
        </w:rPr>
        <w:t xml:space="preserve">    </w:t>
      </w:r>
      <w:r w:rsidRPr="0030315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proofErr w:type="spellStart"/>
      <w:r w:rsidR="00190028">
        <w:rPr>
          <w:sz w:val="26"/>
          <w:szCs w:val="26"/>
        </w:rPr>
        <w:t>В.В.Петров</w:t>
      </w:r>
      <w:proofErr w:type="spellEnd"/>
    </w:p>
    <w:p w:rsidR="006C7F10" w:rsidRPr="00303159" w:rsidRDefault="006C7F10" w:rsidP="006C7F10">
      <w:pPr>
        <w:rPr>
          <w:sz w:val="26"/>
          <w:szCs w:val="26"/>
        </w:rPr>
      </w:pPr>
    </w:p>
    <w:p w:rsidR="006C7F10" w:rsidRPr="00303159" w:rsidRDefault="006C7F10" w:rsidP="006C7F10">
      <w:pPr>
        <w:rPr>
          <w:sz w:val="26"/>
          <w:szCs w:val="26"/>
        </w:rPr>
      </w:pPr>
    </w:p>
    <w:p w:rsidR="006C7F10" w:rsidRDefault="006C7F10" w:rsidP="006C7F10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6C7F10" w:rsidRDefault="006C7F10" w:rsidP="006C7F10">
      <w:pPr>
        <w:autoSpaceDE w:val="0"/>
        <w:autoSpaceDN w:val="0"/>
        <w:adjustRightInd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</w:t>
      </w:r>
    </w:p>
    <w:p w:rsidR="006C7F10" w:rsidRDefault="006C7F10" w:rsidP="006C7F10">
      <w:pPr>
        <w:autoSpaceDE w:val="0"/>
        <w:autoSpaceDN w:val="0"/>
        <w:adjustRightInd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   </w:t>
      </w:r>
    </w:p>
    <w:p w:rsidR="006C7F10" w:rsidRDefault="006C7F10" w:rsidP="006C7F10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7515A1" w:rsidRPr="009C5A3F" w:rsidRDefault="006C7F10" w:rsidP="006C7F10">
      <w:pPr>
        <w:autoSpaceDE w:val="0"/>
        <w:autoSpaceDN w:val="0"/>
        <w:adjustRightInd w:val="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7515A1" w:rsidRPr="009C5A3F">
        <w:rPr>
          <w:caps/>
          <w:sz w:val="26"/>
          <w:szCs w:val="26"/>
        </w:rPr>
        <w:t>УтвержденЫ</w:t>
      </w:r>
    </w:p>
    <w:p w:rsidR="007515A1" w:rsidRPr="00B14FBE" w:rsidRDefault="00B14FBE" w:rsidP="008E2324">
      <w:pPr>
        <w:autoSpaceDE w:val="0"/>
        <w:autoSpaceDN w:val="0"/>
        <w:adjustRightInd w:val="0"/>
        <w:ind w:left="4800"/>
        <w:jc w:val="center"/>
      </w:pPr>
      <w:r w:rsidRPr="00B14FBE">
        <w:t>Решением С</w:t>
      </w:r>
      <w:r w:rsidR="007515A1" w:rsidRPr="00B14FBE">
        <w:t xml:space="preserve">обрания депутатов </w:t>
      </w:r>
    </w:p>
    <w:p w:rsidR="007515A1" w:rsidRPr="00B14FBE" w:rsidRDefault="00B14FBE" w:rsidP="008E2324">
      <w:pPr>
        <w:autoSpaceDE w:val="0"/>
        <w:autoSpaceDN w:val="0"/>
        <w:adjustRightInd w:val="0"/>
        <w:ind w:left="4800"/>
        <w:jc w:val="center"/>
      </w:pPr>
      <w:proofErr w:type="spellStart"/>
      <w:r w:rsidRPr="00B14FBE">
        <w:t>Малотаябинского</w:t>
      </w:r>
      <w:proofErr w:type="spellEnd"/>
      <w:r w:rsidRPr="00B14FBE">
        <w:t xml:space="preserve"> сельского поселения </w:t>
      </w:r>
      <w:proofErr w:type="spellStart"/>
      <w:r w:rsidRPr="00B14FBE">
        <w:t>Яльчикского</w:t>
      </w:r>
      <w:proofErr w:type="spellEnd"/>
      <w:r w:rsidRPr="00B14FBE">
        <w:t xml:space="preserve"> района Чувашской Республики</w:t>
      </w:r>
    </w:p>
    <w:p w:rsidR="007515A1" w:rsidRPr="009C5A3F" w:rsidRDefault="007515A1" w:rsidP="008E2324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</w:p>
    <w:p w:rsidR="007515A1" w:rsidRPr="00B14FBE" w:rsidRDefault="007515A1" w:rsidP="008E2324">
      <w:pPr>
        <w:autoSpaceDE w:val="0"/>
        <w:autoSpaceDN w:val="0"/>
        <w:adjustRightInd w:val="0"/>
        <w:ind w:left="4800"/>
        <w:jc w:val="center"/>
      </w:pPr>
      <w:r w:rsidRPr="00B14FBE">
        <w:t>от «</w:t>
      </w:r>
      <w:r w:rsidR="00061C4B">
        <w:t>20</w:t>
      </w:r>
      <w:r w:rsidRPr="00B14FBE">
        <w:t xml:space="preserve">» </w:t>
      </w:r>
      <w:r w:rsidR="00061C4B">
        <w:t xml:space="preserve">марта </w:t>
      </w:r>
      <w:r w:rsidRPr="00B14FBE">
        <w:t>2018 г.   №</w:t>
      </w:r>
      <w:r w:rsidR="00061C4B">
        <w:t>26/1</w:t>
      </w:r>
    </w:p>
    <w:p w:rsidR="007515A1" w:rsidRPr="00B14FBE" w:rsidRDefault="007515A1" w:rsidP="008E2324">
      <w:pPr>
        <w:jc w:val="center"/>
        <w:rPr>
          <w:b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9C7841" w:rsidRPr="009C7841" w:rsidRDefault="007515A1" w:rsidP="009C784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7515A1" w:rsidRPr="009C7841" w:rsidRDefault="009C7841" w:rsidP="008E2324">
      <w:pPr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Малотаябинского</w:t>
      </w:r>
      <w:proofErr w:type="spellEnd"/>
      <w:r>
        <w:rPr>
          <w:b/>
          <w:sz w:val="26"/>
          <w:szCs w:val="26"/>
          <w:u w:val="single"/>
        </w:rPr>
        <w:t xml:space="preserve"> сельского поселения</w:t>
      </w:r>
    </w:p>
    <w:p w:rsidR="007515A1" w:rsidRPr="009C7841" w:rsidRDefault="007515A1" w:rsidP="009C7841">
      <w:pPr>
        <w:jc w:val="center"/>
        <w:rPr>
          <w:sz w:val="16"/>
          <w:szCs w:val="16"/>
        </w:rPr>
      </w:pPr>
      <w:r w:rsidRPr="003E0553">
        <w:rPr>
          <w:sz w:val="16"/>
          <w:szCs w:val="16"/>
        </w:rPr>
        <w:t>(наименование поселения)</w:t>
      </w:r>
    </w:p>
    <w:p w:rsidR="007515A1" w:rsidRPr="003E0553" w:rsidRDefault="007515A1" w:rsidP="008E2324">
      <w:pPr>
        <w:jc w:val="center"/>
        <w:rPr>
          <w:b/>
          <w:sz w:val="26"/>
          <w:szCs w:val="26"/>
        </w:rPr>
      </w:pPr>
      <w:r w:rsidRPr="003E0553">
        <w:rPr>
          <w:b/>
          <w:sz w:val="26"/>
          <w:szCs w:val="26"/>
        </w:rPr>
        <w:t>Чувашской Республики</w:t>
      </w:r>
    </w:p>
    <w:p w:rsidR="007515A1" w:rsidRDefault="007515A1" w:rsidP="008E2324">
      <w:pPr>
        <w:rPr>
          <w:sz w:val="26"/>
          <w:szCs w:val="26"/>
        </w:rPr>
      </w:pPr>
    </w:p>
    <w:p w:rsidR="007515A1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7515A1" w:rsidRPr="009C5A3F" w:rsidRDefault="007515A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 xml:space="preserve"> Предельные значения расчетных показателей минимально допустимого уровня обеспеченности населения </w:t>
      </w:r>
      <w:proofErr w:type="spellStart"/>
      <w:r w:rsidR="00D975B7">
        <w:rPr>
          <w:b/>
          <w:sz w:val="26"/>
          <w:szCs w:val="26"/>
        </w:rPr>
        <w:t>Малотаябинского</w:t>
      </w:r>
      <w:proofErr w:type="spellEnd"/>
      <w:r w:rsidR="00D975B7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</w:t>
      </w:r>
      <w:proofErr w:type="gramStart"/>
      <w:r w:rsidRPr="009C5A3F">
        <w:rPr>
          <w:b/>
          <w:sz w:val="26"/>
          <w:szCs w:val="26"/>
        </w:rPr>
        <w:t xml:space="preserve">населения  </w:t>
      </w:r>
      <w:proofErr w:type="spellStart"/>
      <w:r w:rsidR="00D975B7">
        <w:rPr>
          <w:b/>
          <w:sz w:val="26"/>
          <w:szCs w:val="26"/>
        </w:rPr>
        <w:t>Малотаябинского</w:t>
      </w:r>
      <w:proofErr w:type="spellEnd"/>
      <w:proofErr w:type="gramEnd"/>
      <w:r w:rsidR="00D975B7">
        <w:rPr>
          <w:b/>
          <w:sz w:val="26"/>
          <w:szCs w:val="26"/>
        </w:rPr>
        <w:t xml:space="preserve"> сельского поселения</w:t>
      </w:r>
      <w:r w:rsidR="00D975B7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 Республики</w:t>
      </w:r>
    </w:p>
    <w:p w:rsidR="007515A1" w:rsidRPr="009C5A3F" w:rsidRDefault="007515A1" w:rsidP="008E2324">
      <w:pPr>
        <w:ind w:firstLine="851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D975B7">
        <w:rPr>
          <w:sz w:val="26"/>
          <w:szCs w:val="26"/>
        </w:rPr>
        <w:t xml:space="preserve"> </w:t>
      </w:r>
      <w:proofErr w:type="spellStart"/>
      <w:r w:rsidR="00D975B7">
        <w:rPr>
          <w:sz w:val="26"/>
          <w:szCs w:val="26"/>
        </w:rPr>
        <w:t>Малотаябинского</w:t>
      </w:r>
      <w:proofErr w:type="spellEnd"/>
      <w:r w:rsidR="00D975B7">
        <w:rPr>
          <w:sz w:val="26"/>
          <w:szCs w:val="26"/>
        </w:rPr>
        <w:t xml:space="preserve"> сельского поселения</w:t>
      </w:r>
      <w:r w:rsidRPr="009C5A3F">
        <w:rPr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D975B7">
        <w:rPr>
          <w:sz w:val="26"/>
          <w:szCs w:val="26"/>
        </w:rPr>
        <w:t>Малотаябинского</w:t>
      </w:r>
      <w:proofErr w:type="spellEnd"/>
      <w:r w:rsidR="00D975B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 установлены исходя из текущей обеспече</w:t>
      </w:r>
      <w:r w:rsidR="00D975B7">
        <w:rPr>
          <w:sz w:val="26"/>
          <w:szCs w:val="26"/>
        </w:rPr>
        <w:t xml:space="preserve">нности </w:t>
      </w:r>
      <w:proofErr w:type="spellStart"/>
      <w:r w:rsidR="00D975B7">
        <w:rPr>
          <w:sz w:val="26"/>
          <w:szCs w:val="26"/>
        </w:rPr>
        <w:t>Малотаябинского</w:t>
      </w:r>
      <w:proofErr w:type="spellEnd"/>
      <w:r w:rsidR="00D975B7">
        <w:rPr>
          <w:sz w:val="26"/>
          <w:szCs w:val="26"/>
        </w:rPr>
        <w:t xml:space="preserve"> сельского поселения</w:t>
      </w:r>
      <w:r w:rsidRPr="009C5A3F">
        <w:rPr>
          <w:sz w:val="26"/>
          <w:szCs w:val="26"/>
        </w:rPr>
        <w:t xml:space="preserve">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proofErr w:type="spellStart"/>
      <w:r w:rsidR="00D975B7">
        <w:rPr>
          <w:sz w:val="26"/>
          <w:szCs w:val="26"/>
        </w:rPr>
        <w:t>Малотаябинского</w:t>
      </w:r>
      <w:proofErr w:type="spellEnd"/>
      <w:r w:rsidR="00D975B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proofErr w:type="spellStart"/>
      <w:r w:rsidR="00D975B7">
        <w:rPr>
          <w:sz w:val="26"/>
          <w:szCs w:val="26"/>
        </w:rPr>
        <w:t>Малотаябинского</w:t>
      </w:r>
      <w:proofErr w:type="spellEnd"/>
      <w:r w:rsidR="00D975B7">
        <w:rPr>
          <w:sz w:val="26"/>
          <w:szCs w:val="26"/>
        </w:rPr>
        <w:t xml:space="preserve"> сельского поселения</w:t>
      </w:r>
      <w:r w:rsidR="00D975B7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Pr="00D975B7" w:rsidRDefault="007515A1" w:rsidP="00D975B7">
      <w:pPr>
        <w:pStyle w:val="5"/>
        <w:spacing w:before="0" w:after="0"/>
        <w:ind w:firstLine="709"/>
        <w:jc w:val="both"/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.1. Предельные значения расчетных показателей минимально допустимого уровня обеспеченности населения </w:t>
      </w:r>
      <w:proofErr w:type="spellStart"/>
      <w:r w:rsidR="00D975B7" w:rsidRPr="00D975B7">
        <w:rPr>
          <w:rFonts w:ascii="Times New Roman" w:hAnsi="Times New Roman"/>
          <w:i w:val="0"/>
        </w:rPr>
        <w:t>Малотаябинского</w:t>
      </w:r>
      <w:proofErr w:type="spellEnd"/>
      <w:r w:rsidR="00D975B7" w:rsidRPr="00D975B7">
        <w:rPr>
          <w:rFonts w:ascii="Times New Roman" w:hAnsi="Times New Roman"/>
          <w:i w:val="0"/>
        </w:rPr>
        <w:t xml:space="preserve"> сельского поселения</w:t>
      </w:r>
      <w:r w:rsidR="00D975B7" w:rsidRPr="009C5A3F"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электро-, тепло-, газо-, водоснабжения и водоотведения </w:t>
      </w:r>
    </w:p>
    <w:p w:rsidR="007515A1" w:rsidRPr="009C5A3F" w:rsidRDefault="007515A1" w:rsidP="008E2324"/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975B7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="00D975B7" w:rsidRPr="00D975B7">
        <w:rPr>
          <w:b/>
          <w:sz w:val="26"/>
          <w:szCs w:val="26"/>
        </w:rPr>
        <w:t>Малотаябинского</w:t>
      </w:r>
      <w:proofErr w:type="spellEnd"/>
      <w:r w:rsidR="00D975B7" w:rsidRPr="00D975B7">
        <w:rPr>
          <w:b/>
          <w:sz w:val="26"/>
          <w:szCs w:val="26"/>
        </w:rPr>
        <w:t xml:space="preserve"> сельского поселения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450"/>
        <w:gridCol w:w="1243"/>
        <w:gridCol w:w="3371"/>
      </w:tblGrid>
      <w:tr w:rsidR="007515A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7515A1" w:rsidRPr="009C5A3F" w:rsidTr="004363A0">
        <w:tc>
          <w:tcPr>
            <w:tcW w:w="1044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2462"/>
        <w:gridCol w:w="1230"/>
        <w:gridCol w:w="947"/>
        <w:gridCol w:w="82"/>
        <w:gridCol w:w="555"/>
        <w:gridCol w:w="664"/>
        <w:gridCol w:w="546"/>
        <w:gridCol w:w="722"/>
      </w:tblGrid>
      <w:tr w:rsidR="007515A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 xml:space="preserve">Электростанции, подстанции, </w:t>
            </w:r>
            <w:proofErr w:type="gramStart"/>
            <w:r w:rsidRPr="009C5A3F">
              <w:rPr>
                <w:sz w:val="22"/>
                <w:szCs w:val="22"/>
              </w:rPr>
              <w:t>переключатель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A3F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7515A1" w:rsidRPr="009C5A3F" w:rsidRDefault="007515A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7515A1" w:rsidRPr="009C5A3F" w:rsidRDefault="007515A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95"/>
        <w:gridCol w:w="4857"/>
        <w:gridCol w:w="2005"/>
        <w:gridCol w:w="1615"/>
      </w:tblGrid>
      <w:tr w:rsidR="007515A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lastRenderedPageBreak/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Наименование объекта местного значения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(наименование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ресурса)*</w:t>
            </w:r>
            <w:proofErr w:type="gramEnd"/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Размер охранной зоны</w:t>
            </w:r>
          </w:p>
        </w:tc>
      </w:tr>
      <w:tr w:rsidR="007515A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ВЛ 1–20 </w:t>
            </w:r>
            <w:proofErr w:type="spellStart"/>
            <w:r w:rsidRPr="009C5A3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9C5A3F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ВЛ 150–220 </w:t>
            </w:r>
            <w:proofErr w:type="spellStart"/>
            <w:r w:rsidRPr="009C5A3F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ВЛ 330, 500 +/- 400 </w:t>
            </w:r>
            <w:proofErr w:type="spellStart"/>
            <w:r w:rsidRPr="009C5A3F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ВЛ напряжения 1–20 </w:t>
      </w:r>
      <w:proofErr w:type="spellStart"/>
      <w:r w:rsidRPr="009C5A3F">
        <w:rPr>
          <w:sz w:val="22"/>
          <w:szCs w:val="22"/>
        </w:rPr>
        <w:t>кВ</w:t>
      </w:r>
      <w:proofErr w:type="spellEnd"/>
      <w:r w:rsidRPr="009C5A3F">
        <w:rPr>
          <w:sz w:val="22"/>
          <w:szCs w:val="22"/>
        </w:rPr>
        <w:t xml:space="preserve">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="00551830" w:rsidRPr="00551830">
        <w:rPr>
          <w:b/>
          <w:sz w:val="26"/>
          <w:szCs w:val="26"/>
        </w:rPr>
        <w:t>Малотаябинского</w:t>
      </w:r>
      <w:proofErr w:type="spellEnd"/>
      <w:r w:rsidR="00551830" w:rsidRPr="00551830">
        <w:rPr>
          <w:b/>
          <w:sz w:val="26"/>
          <w:szCs w:val="26"/>
        </w:rPr>
        <w:t xml:space="preserve"> сельского поселения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2674"/>
        <w:gridCol w:w="1860"/>
        <w:gridCol w:w="1511"/>
      </w:tblGrid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7515A1" w:rsidRPr="009C5A3F" w:rsidTr="003E0553">
        <w:tc>
          <w:tcPr>
            <w:tcW w:w="1668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027"/>
        <w:gridCol w:w="2674"/>
        <w:gridCol w:w="1860"/>
        <w:gridCol w:w="1511"/>
      </w:tblGrid>
      <w:tr w:rsidR="007515A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7515A1" w:rsidRPr="009C5A3F" w:rsidRDefault="007515A1" w:rsidP="008E2324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lastRenderedPageBreak/>
        <w:t xml:space="preserve">3. Указанные нормы следует применять с учетом требований СП 62.13330.2011. </w:t>
      </w: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91"/>
        <w:gridCol w:w="4524"/>
        <w:gridCol w:w="2317"/>
        <w:gridCol w:w="1640"/>
      </w:tblGrid>
      <w:tr w:rsidR="007515A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7515A1" w:rsidRPr="009C5A3F" w:rsidRDefault="007515A1" w:rsidP="008E2324">
      <w:pPr>
        <w:autoSpaceDE w:val="0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7515A1" w:rsidRPr="009C5A3F" w:rsidRDefault="007515A1" w:rsidP="008E2324">
      <w:pPr>
        <w:autoSpaceDE w:val="0"/>
        <w:ind w:firstLine="851"/>
        <w:jc w:val="right"/>
        <w:rPr>
          <w:sz w:val="20"/>
          <w:szCs w:val="20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 </w:t>
      </w:r>
      <w:proofErr w:type="spellStart"/>
      <w:r w:rsidR="00B31F25" w:rsidRPr="00B31F25">
        <w:rPr>
          <w:b/>
          <w:sz w:val="26"/>
          <w:szCs w:val="26"/>
        </w:rPr>
        <w:t>Малотаябинского</w:t>
      </w:r>
      <w:proofErr w:type="spellEnd"/>
      <w:r w:rsidR="00B31F25" w:rsidRPr="00B31F25">
        <w:rPr>
          <w:b/>
          <w:sz w:val="26"/>
          <w:szCs w:val="26"/>
        </w:rPr>
        <w:t xml:space="preserve"> сельского поселения</w:t>
      </w:r>
      <w:r w:rsidR="00B31F25" w:rsidRPr="009C5A3F">
        <w:rPr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2611"/>
        <w:gridCol w:w="913"/>
        <w:gridCol w:w="913"/>
        <w:gridCol w:w="980"/>
        <w:gridCol w:w="1044"/>
      </w:tblGrid>
      <w:tr w:rsidR="007515A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bookmarkStart w:id="1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1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="00296E4C" w:rsidRPr="000D76CF">
        <w:rPr>
          <w:b/>
          <w:sz w:val="26"/>
          <w:szCs w:val="26"/>
        </w:rPr>
        <w:t>Малотаябинского</w:t>
      </w:r>
      <w:proofErr w:type="spellEnd"/>
      <w:r w:rsidR="00296E4C" w:rsidRPr="000D76CF">
        <w:rPr>
          <w:b/>
          <w:sz w:val="26"/>
          <w:szCs w:val="26"/>
        </w:rPr>
        <w:t xml:space="preserve"> сельского поселения</w:t>
      </w:r>
      <w:r w:rsidR="00296E4C" w:rsidRPr="009C5A3F">
        <w:rPr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077"/>
        <w:gridCol w:w="690"/>
        <w:gridCol w:w="692"/>
        <w:gridCol w:w="693"/>
        <w:gridCol w:w="693"/>
        <w:gridCol w:w="693"/>
        <w:gridCol w:w="693"/>
        <w:gridCol w:w="693"/>
        <w:gridCol w:w="692"/>
      </w:tblGrid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7515A1" w:rsidRPr="009C5A3F" w:rsidRDefault="007515A1" w:rsidP="008E2324">
      <w:pPr>
        <w:spacing w:line="235" w:lineRule="auto"/>
        <w:rPr>
          <w:sz w:val="2"/>
          <w:szCs w:val="2"/>
        </w:rPr>
      </w:pPr>
    </w:p>
    <w:p w:rsidR="007515A1" w:rsidRDefault="007515A1" w:rsidP="008E2324">
      <w:pPr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7515A1" w:rsidRPr="009C5A3F" w:rsidRDefault="007515A1" w:rsidP="008E2324">
      <w:pPr>
        <w:jc w:val="right"/>
        <w:rPr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0D76CF">
        <w:rPr>
          <w:b/>
          <w:sz w:val="26"/>
          <w:szCs w:val="26"/>
        </w:rPr>
        <w:t xml:space="preserve"> </w:t>
      </w:r>
      <w:proofErr w:type="spellStart"/>
      <w:r w:rsidR="000D76CF">
        <w:rPr>
          <w:b/>
          <w:sz w:val="26"/>
          <w:szCs w:val="26"/>
        </w:rPr>
        <w:t>Малотаябинского</w:t>
      </w:r>
      <w:proofErr w:type="spellEnd"/>
      <w:r w:rsidR="000D76CF">
        <w:rPr>
          <w:b/>
          <w:sz w:val="26"/>
          <w:szCs w:val="26"/>
        </w:rPr>
        <w:t xml:space="preserve"> сельского поселения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водоснабжения и водоотведения </w:t>
      </w: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ind w:firstLine="851"/>
        <w:jc w:val="center"/>
        <w:rPr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660"/>
        <w:gridCol w:w="3551"/>
        <w:gridCol w:w="1067"/>
        <w:gridCol w:w="1065"/>
        <w:gridCol w:w="887"/>
        <w:gridCol w:w="1065"/>
      </w:tblGrid>
      <w:tr w:rsidR="007515A1" w:rsidRPr="009C5A3F" w:rsidTr="004363A0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объекта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9C5A3F">
              <w:rPr>
                <w:sz w:val="22"/>
                <w:szCs w:val="22"/>
              </w:rPr>
              <w:t xml:space="preserve">(норматив потребления коммунальной услуги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 жилых помещениях, 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Pr="009C5A3F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7515A1" w:rsidRPr="009C5A3F" w:rsidTr="004363A0">
        <w:tc>
          <w:tcPr>
            <w:tcW w:w="893" w:type="pct"/>
            <w:vMerge/>
          </w:tcPr>
          <w:p w:rsidR="007515A1" w:rsidRPr="009C5A3F" w:rsidRDefault="007515A1" w:rsidP="003E0553"/>
        </w:tc>
        <w:tc>
          <w:tcPr>
            <w:tcW w:w="1910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водоотведение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663"/>
        <w:gridCol w:w="3551"/>
        <w:gridCol w:w="1065"/>
        <w:gridCol w:w="1063"/>
        <w:gridCol w:w="916"/>
        <w:gridCol w:w="937"/>
        <w:gridCol w:w="11"/>
        <w:gridCol w:w="89"/>
      </w:tblGrid>
      <w:tr w:rsidR="007515A1" w:rsidRPr="009C5A3F" w:rsidTr="004363A0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0D7ACA" w:rsidRDefault="007515A1" w:rsidP="003E0553">
            <w:pPr>
              <w:ind w:left="28" w:right="28"/>
            </w:pPr>
            <w:r w:rsidRPr="000D7ACA">
              <w:rPr>
                <w:sz w:val="22"/>
                <w:szCs w:val="22"/>
              </w:rPr>
              <w:t xml:space="preserve">Климатическая зона «Батырево» </w:t>
            </w:r>
          </w:p>
          <w:p w:rsidR="007515A1" w:rsidRPr="009C5A3F" w:rsidRDefault="007515A1" w:rsidP="003E0553">
            <w:pPr>
              <w:ind w:left="28" w:right="28"/>
            </w:pPr>
            <w:r w:rsidRPr="000D7ACA">
              <w:rPr>
                <w:sz w:val="22"/>
                <w:szCs w:val="22"/>
              </w:rPr>
              <w:t>(</w:t>
            </w:r>
            <w:proofErr w:type="spellStart"/>
            <w:r w:rsidRPr="000D7ACA">
              <w:rPr>
                <w:sz w:val="22"/>
                <w:szCs w:val="22"/>
              </w:rPr>
              <w:t>Батыревский</w:t>
            </w:r>
            <w:proofErr w:type="spellEnd"/>
            <w:r w:rsidRPr="000D7ACA">
              <w:rPr>
                <w:sz w:val="22"/>
                <w:szCs w:val="22"/>
              </w:rPr>
              <w:t xml:space="preserve">, Комсомольский, </w:t>
            </w:r>
            <w:proofErr w:type="spellStart"/>
            <w:r w:rsidRPr="000D7ACA">
              <w:rPr>
                <w:sz w:val="22"/>
                <w:szCs w:val="22"/>
              </w:rPr>
              <w:t>Шемуршинский</w:t>
            </w:r>
            <w:proofErr w:type="spellEnd"/>
            <w:r w:rsidRPr="000D7ACA">
              <w:rPr>
                <w:sz w:val="22"/>
                <w:szCs w:val="22"/>
              </w:rPr>
              <w:t xml:space="preserve">, </w:t>
            </w:r>
            <w:proofErr w:type="spellStart"/>
            <w:r w:rsidRPr="000D7ACA">
              <w:rPr>
                <w:sz w:val="22"/>
                <w:szCs w:val="22"/>
              </w:rPr>
              <w:t>Яльчикский</w:t>
            </w:r>
            <w:proofErr w:type="spellEnd"/>
            <w:r w:rsidRPr="000D7ACA">
              <w:rPr>
                <w:sz w:val="22"/>
                <w:szCs w:val="22"/>
              </w:rPr>
              <w:t xml:space="preserve"> районы)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</w:tr>
    </w:tbl>
    <w:p w:rsidR="007515A1" w:rsidRPr="009C5A3F" w:rsidRDefault="007515A1" w:rsidP="008E2324">
      <w:pPr>
        <w:spacing w:line="230" w:lineRule="auto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0D7ACA" w:rsidRDefault="000D7ACA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0D7ACA" w:rsidRPr="009C5A3F" w:rsidRDefault="000D7ACA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0D7ACA" w:rsidRDefault="000D7ACA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 Предельные значения расчетных показателей минимально допустимого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населения </w:t>
      </w:r>
      <w:proofErr w:type="spellStart"/>
      <w:r w:rsidR="000D7ACA" w:rsidRPr="000D7ACA">
        <w:rPr>
          <w:rFonts w:ascii="Times New Roman" w:hAnsi="Times New Roman"/>
          <w:i w:val="0"/>
        </w:rPr>
        <w:t>Малотаябинского</w:t>
      </w:r>
      <w:proofErr w:type="spellEnd"/>
      <w:r w:rsidR="000D7ACA" w:rsidRPr="000D7ACA">
        <w:rPr>
          <w:rFonts w:ascii="Times New Roman" w:hAnsi="Times New Roman"/>
          <w:i w:val="0"/>
        </w:rPr>
        <w:t xml:space="preserve"> сельского</w:t>
      </w:r>
      <w:r w:rsidR="000D7ACA">
        <w:t xml:space="preserve"> </w:t>
      </w:r>
      <w:r w:rsidR="000D7ACA" w:rsidRPr="000D7ACA">
        <w:rPr>
          <w:rFonts w:ascii="Times New Roman" w:hAnsi="Times New Roman"/>
          <w:i w:val="0"/>
        </w:rPr>
        <w:t>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D7ACA">
        <w:rPr>
          <w:rFonts w:ascii="Times New Roman" w:hAnsi="Times New Roman"/>
          <w:i w:val="0"/>
        </w:rPr>
        <w:t xml:space="preserve"> </w:t>
      </w:r>
      <w:proofErr w:type="spellStart"/>
      <w:r w:rsidR="000D7ACA" w:rsidRPr="000D7ACA">
        <w:rPr>
          <w:rFonts w:ascii="Times New Roman" w:hAnsi="Times New Roman"/>
          <w:i w:val="0"/>
        </w:rPr>
        <w:t>Малотаябинского</w:t>
      </w:r>
      <w:proofErr w:type="spellEnd"/>
      <w:r w:rsidR="000D7ACA" w:rsidRPr="000D7ACA">
        <w:rPr>
          <w:rFonts w:ascii="Times New Roman" w:hAnsi="Times New Roman"/>
          <w:i w:val="0"/>
        </w:rPr>
        <w:t xml:space="preserve"> сельского</w:t>
      </w:r>
      <w:r w:rsidR="000D7ACA">
        <w:t xml:space="preserve"> </w:t>
      </w:r>
      <w:r w:rsidR="000D7ACA" w:rsidRPr="000D7ACA">
        <w:rPr>
          <w:rFonts w:ascii="Times New Roman" w:hAnsi="Times New Roman"/>
          <w:i w:val="0"/>
        </w:rPr>
        <w:t>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="000D7ACA" w:rsidRPr="000D7ACA">
        <w:rPr>
          <w:b/>
          <w:sz w:val="26"/>
          <w:szCs w:val="26"/>
        </w:rPr>
        <w:t>Малотаябинского</w:t>
      </w:r>
      <w:proofErr w:type="spellEnd"/>
      <w:r w:rsidR="000D7ACA" w:rsidRPr="000D7ACA">
        <w:rPr>
          <w:b/>
          <w:sz w:val="26"/>
          <w:szCs w:val="26"/>
        </w:rPr>
        <w:t xml:space="preserve"> сельского поселения</w:t>
      </w:r>
      <w:r w:rsidR="000D7ACA"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 Республики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местами хранения личного автотранспорта населения </w:t>
      </w:r>
      <w:proofErr w:type="spellStart"/>
      <w:r w:rsidR="000D7ACA" w:rsidRPr="000D7ACA">
        <w:rPr>
          <w:b/>
          <w:sz w:val="26"/>
          <w:szCs w:val="26"/>
        </w:rPr>
        <w:t>Малотаябинского</w:t>
      </w:r>
      <w:proofErr w:type="spellEnd"/>
      <w:r w:rsidR="000D7ACA" w:rsidRPr="000D7ACA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368"/>
        <w:gridCol w:w="1419"/>
        <w:gridCol w:w="1063"/>
        <w:gridCol w:w="1595"/>
        <w:gridCol w:w="1205"/>
      </w:tblGrid>
      <w:tr w:rsidR="007515A1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299"/>
        <w:gridCol w:w="1990"/>
        <w:gridCol w:w="94"/>
        <w:gridCol w:w="1419"/>
        <w:gridCol w:w="1065"/>
        <w:gridCol w:w="1595"/>
        <w:gridCol w:w="1201"/>
      </w:tblGrid>
      <w:tr w:rsidR="007515A1" w:rsidRPr="009C5A3F" w:rsidTr="002302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8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9C5A3F" w:rsidTr="002302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601815" w:rsidRPr="009C5A3F" w:rsidTr="00F14B3C">
        <w:trPr>
          <w:trHeight w:val="722"/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601815" w:rsidRPr="009C5A3F" w:rsidRDefault="00601815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01815" w:rsidRPr="009C5A3F" w:rsidRDefault="00601815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7515A1" w:rsidRPr="009C5A3F" w:rsidTr="002302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2302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A3F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  <w:p w:rsidR="007515A1" w:rsidRPr="009C5A3F" w:rsidRDefault="007515A1" w:rsidP="003E0553"/>
          <w:p w:rsidR="007515A1" w:rsidRPr="009C5A3F" w:rsidRDefault="007515A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8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 стоянки у общественных зданий, </w:t>
            </w: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учреждений, предприятий, торговых центров, вокзалов и т.д.</w:t>
            </w:r>
          </w:p>
          <w:p w:rsidR="007515A1" w:rsidRPr="009C5A3F" w:rsidRDefault="007515A1" w:rsidP="003E0553">
            <w:pPr>
              <w:rPr>
                <w:b/>
              </w:rPr>
            </w:pP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2302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3022F">
              <w:rPr>
                <w:rFonts w:ascii="Times New Roman" w:hAnsi="Times New Roman" w:cs="Times New Roman"/>
                <w:sz w:val="22"/>
                <w:szCs w:val="22"/>
              </w:rPr>
              <w:t>ческие учреждения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, здания и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общественных организаций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Машино-мест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lastRenderedPageBreak/>
              <w:t>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r>
              <w:rPr>
                <w:sz w:val="22"/>
                <w:szCs w:val="22"/>
              </w:rPr>
              <w:t>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r>
              <w:rPr>
                <w:sz w:val="22"/>
                <w:szCs w:val="22"/>
              </w:rPr>
              <w:t>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pPr>
              <w:keepNext/>
            </w:pPr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Машино-мест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r>
              <w:rPr>
                <w:sz w:val="22"/>
                <w:szCs w:val="22"/>
              </w:rPr>
              <w:t>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Магазины-склады (мелкооптовой и </w:t>
            </w:r>
            <w:r w:rsidR="0023022F">
              <w:rPr>
                <w:sz w:val="22"/>
                <w:szCs w:val="22"/>
              </w:rPr>
              <w:t>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3022F" w:rsidP="003E0553">
            <w:r>
              <w:rPr>
                <w:sz w:val="22"/>
                <w:szCs w:val="22"/>
              </w:rPr>
              <w:t>10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</w:t>
            </w:r>
            <w:r w:rsidR="0023022F">
              <w:rPr>
                <w:sz w:val="22"/>
                <w:szCs w:val="22"/>
              </w:rPr>
              <w:t>торговые комплексы</w:t>
            </w:r>
            <w:r w:rsidRPr="009C5A3F">
              <w:rPr>
                <w:sz w:val="22"/>
                <w:szCs w:val="22"/>
              </w:rPr>
              <w:t>, универсамы, универмаги и т.п.)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13.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</w:t>
            </w:r>
            <w:r w:rsidR="00FE61DE">
              <w:rPr>
                <w:sz w:val="22"/>
                <w:szCs w:val="22"/>
              </w:rPr>
              <w:t>ольственной группы (спортивные,</w:t>
            </w:r>
            <w:r w:rsidRPr="009C5A3F">
              <w:rPr>
                <w:sz w:val="22"/>
                <w:szCs w:val="22"/>
              </w:rPr>
              <w:t xml:space="preserve"> мебельные, </w:t>
            </w:r>
            <w:r w:rsidRPr="009C5A3F">
              <w:rPr>
                <w:sz w:val="22"/>
                <w:szCs w:val="22"/>
              </w:rPr>
              <w:lastRenderedPageBreak/>
              <w:t>бытовой техники, музыкальных инструментов, ювелирные, книжные и т.п.)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Машино-мест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16.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</w:t>
            </w:r>
            <w:r w:rsidR="00D424E9">
              <w:rPr>
                <w:rFonts w:ascii="Times New Roman" w:hAnsi="Times New Roman" w:cs="Times New Roman"/>
                <w:sz w:val="22"/>
                <w:szCs w:val="22"/>
              </w:rPr>
              <w:t>, фотосалоны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1815">
              <w:rPr>
                <w:rFonts w:ascii="Times New Roman" w:hAnsi="Times New Roman" w:cs="Times New Roman"/>
                <w:sz w:val="22"/>
                <w:szCs w:val="22"/>
              </w:rPr>
              <w:t xml:space="preserve"> салоны-парикмахерские и др.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17.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М</w:t>
            </w:r>
            <w:r w:rsidR="007515A1" w:rsidRPr="009C5A3F">
              <w:rPr>
                <w:sz w:val="22"/>
                <w:szCs w:val="22"/>
              </w:rPr>
              <w:t>узеи, галереи, выставочные залы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D424E9" w:rsidRDefault="00D424E9" w:rsidP="00D42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Киноцентры и кинотеатры                     </w:t>
            </w:r>
            <w:r w:rsidR="007515A1" w:rsidRPr="009C5A3F">
              <w:rPr>
                <w:sz w:val="22"/>
                <w:szCs w:val="22"/>
              </w:rPr>
              <w:t xml:space="preserve"> </w:t>
            </w:r>
            <w:r w:rsidR="007515A1" w:rsidRPr="00D424E9">
              <w:rPr>
                <w:rFonts w:ascii="Times New Roman" w:hAnsi="Times New Roman" w:cs="Times New Roman"/>
                <w:sz w:val="22"/>
                <w:szCs w:val="22"/>
              </w:rPr>
              <w:t>(1-й уровень комфорта)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8–12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другие (2-й уровень комфорта)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15–25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конфессий (ц</w:t>
            </w:r>
            <w:r w:rsidR="00601815">
              <w:rPr>
                <w:sz w:val="22"/>
                <w:szCs w:val="22"/>
              </w:rPr>
              <w:t>еркви,  мечети</w:t>
            </w:r>
            <w:r w:rsidRPr="009C5A3F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</w:t>
            </w:r>
            <w:r w:rsidRPr="009C5A3F">
              <w:rPr>
                <w:sz w:val="22"/>
                <w:szCs w:val="22"/>
              </w:rPr>
              <w:lastRenderedPageBreak/>
              <w:t>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lastRenderedPageBreak/>
              <w:t>21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</w:t>
            </w:r>
            <w:r w:rsidR="00D424E9">
              <w:rPr>
                <w:sz w:val="22"/>
                <w:szCs w:val="22"/>
              </w:rPr>
              <w:t>влекательные центры, дискотеки.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</w:t>
            </w:r>
            <w:r w:rsidR="00D424E9">
              <w:rPr>
                <w:sz w:val="22"/>
                <w:szCs w:val="22"/>
              </w:rPr>
              <w:t>ганизации</w:t>
            </w:r>
            <w:r w:rsidRPr="009C5A3F">
              <w:rPr>
                <w:sz w:val="22"/>
                <w:szCs w:val="22"/>
              </w:rPr>
              <w:t xml:space="preserve">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</w:t>
            </w:r>
            <w:r w:rsidR="00D424E9">
              <w:rPr>
                <w:sz w:val="22"/>
                <w:szCs w:val="22"/>
              </w:rPr>
              <w:t>ионарных условиях (боль</w:t>
            </w:r>
            <w:r w:rsidR="00D424E9">
              <w:rPr>
                <w:sz w:val="22"/>
                <w:szCs w:val="22"/>
              </w:rPr>
              <w:softHyphen/>
              <w:t>ницы</w:t>
            </w:r>
            <w:r w:rsidRPr="009C5A3F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424E9" w:rsidP="003E0553">
            <w:pPr>
              <w:spacing w:line="235" w:lineRule="auto"/>
            </w:pPr>
            <w:r>
              <w:rPr>
                <w:sz w:val="22"/>
                <w:szCs w:val="22"/>
              </w:rPr>
              <w:t>23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1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26.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27.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28.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31.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Специализированные спортивные клубы и комплексы (теннис, к</w:t>
            </w:r>
            <w:r w:rsidR="004F654E">
              <w:rPr>
                <w:sz w:val="22"/>
                <w:szCs w:val="22"/>
              </w:rPr>
              <w:t xml:space="preserve">онный спорт  </w:t>
            </w:r>
            <w:r w:rsidRPr="009C5A3F">
              <w:rPr>
                <w:sz w:val="22"/>
                <w:szCs w:val="22"/>
              </w:rPr>
              <w:t>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3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4 единовременных 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t>32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</w:t>
            </w:r>
            <w:r w:rsidRPr="009C5A3F">
              <w:rPr>
                <w:sz w:val="22"/>
                <w:szCs w:val="22"/>
              </w:rPr>
              <w:lastRenderedPageBreak/>
              <w:t>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lastRenderedPageBreak/>
              <w:t>35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t>36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  <w:jc w:val="both"/>
            </w:pPr>
            <w:r>
              <w:rPr>
                <w:sz w:val="22"/>
                <w:szCs w:val="22"/>
              </w:rPr>
              <w:t xml:space="preserve"> Т</w:t>
            </w:r>
            <w:r w:rsidR="007515A1" w:rsidRPr="009C5A3F">
              <w:rPr>
                <w:sz w:val="22"/>
                <w:szCs w:val="22"/>
              </w:rPr>
              <w:t>уристские базы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FE61D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4F654E" w:rsidP="003E0553">
            <w:pPr>
              <w:spacing w:line="230" w:lineRule="auto"/>
            </w:pPr>
            <w:r>
              <w:rPr>
                <w:sz w:val="22"/>
                <w:szCs w:val="22"/>
              </w:rPr>
              <w:t>37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1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83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Примечания: Размещение требуемого количества </w:t>
      </w:r>
      <w:proofErr w:type="spellStart"/>
      <w:r w:rsidRPr="009C5A3F">
        <w:rPr>
          <w:sz w:val="22"/>
          <w:szCs w:val="22"/>
        </w:rPr>
        <w:t>машино</w:t>
      </w:r>
      <w:proofErr w:type="spellEnd"/>
      <w:r w:rsidRPr="009C5A3F">
        <w:rPr>
          <w:sz w:val="22"/>
          <w:szCs w:val="22"/>
        </w:rPr>
        <w:t>-мест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7515A1" w:rsidRPr="009C5A3F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7515A1" w:rsidRPr="009C5A3F" w:rsidRDefault="00453117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сельских поселениях</w:t>
      </w:r>
      <w:r w:rsidR="007515A1" w:rsidRPr="009C5A3F">
        <w:rPr>
          <w:rFonts w:ascii="Times New Roman" w:hAnsi="Times New Roman" w:cs="Times New Roman"/>
          <w:sz w:val="22"/>
          <w:szCs w:val="22"/>
        </w:rPr>
        <w:t xml:space="preserve"> – цент</w:t>
      </w:r>
      <w:r>
        <w:rPr>
          <w:rFonts w:ascii="Times New Roman" w:hAnsi="Times New Roman" w:cs="Times New Roman"/>
          <w:sz w:val="22"/>
          <w:szCs w:val="22"/>
        </w:rPr>
        <w:t xml:space="preserve">рах туризма </w:t>
      </w:r>
      <w:r w:rsidR="007515A1" w:rsidRPr="009C5A3F">
        <w:rPr>
          <w:rFonts w:ascii="Times New Roman" w:hAnsi="Times New Roman" w:cs="Times New Roman"/>
          <w:sz w:val="22"/>
          <w:szCs w:val="22"/>
        </w:rPr>
        <w:t xml:space="preserve">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>деляется расчетом. Указанные стоянки должны быть размещены с учетом обеспечения удоб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Вместимость стоянок </w:t>
      </w:r>
      <w:r w:rsidR="00453117">
        <w:rPr>
          <w:rFonts w:ascii="Times New Roman" w:hAnsi="Times New Roman" w:cs="Times New Roman"/>
          <w:sz w:val="22"/>
          <w:szCs w:val="22"/>
        </w:rPr>
        <w:t xml:space="preserve">для парковки туристических автобусов </w:t>
      </w:r>
      <w:r w:rsidRPr="009C5A3F">
        <w:rPr>
          <w:rFonts w:ascii="Times New Roman" w:hAnsi="Times New Roman" w:cs="Times New Roman"/>
          <w:sz w:val="22"/>
          <w:szCs w:val="22"/>
        </w:rPr>
        <w:t xml:space="preserve">следует принимать по норме </w:t>
      </w:r>
      <w:r>
        <w:rPr>
          <w:rFonts w:ascii="Times New Roman" w:hAnsi="Times New Roman" w:cs="Times New Roman"/>
          <w:sz w:val="22"/>
          <w:szCs w:val="22"/>
        </w:rPr>
        <w:t>3-</w:t>
      </w:r>
      <w:r w:rsidRPr="009C5A3F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шино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>-места на 100 пассажиров (туристов), прибывающих в часы пик.</w:t>
      </w:r>
    </w:p>
    <w:p w:rsidR="007515A1" w:rsidRPr="009C5A3F" w:rsidRDefault="007515A1" w:rsidP="008E2324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>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4"/>
        <w:gridCol w:w="2435"/>
        <w:gridCol w:w="2030"/>
        <w:gridCol w:w="2163"/>
      </w:tblGrid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</w:p>
    <w:p w:rsidR="007515A1" w:rsidRPr="009C5A3F" w:rsidRDefault="00AE5BFD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уровня обеспеченности населения </w:t>
      </w:r>
      <w:proofErr w:type="spellStart"/>
      <w:r>
        <w:rPr>
          <w:rFonts w:ascii="Times New Roman" w:hAnsi="Times New Roman"/>
          <w:i w:val="0"/>
        </w:rPr>
        <w:t>Малотаябинского</w:t>
      </w:r>
      <w:proofErr w:type="spellEnd"/>
      <w:r>
        <w:rPr>
          <w:rFonts w:ascii="Times New Roman" w:hAnsi="Times New Roman"/>
          <w:i w:val="0"/>
        </w:rPr>
        <w:t xml:space="preserve"> сельского поселения</w:t>
      </w:r>
      <w:r w:rsidR="007515A1"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/>
          <w:i w:val="0"/>
        </w:rPr>
        <w:t>Малотаябинского</w:t>
      </w:r>
      <w:proofErr w:type="spellEnd"/>
      <w:r>
        <w:rPr>
          <w:rFonts w:ascii="Times New Roman" w:hAnsi="Times New Roman"/>
          <w:i w:val="0"/>
        </w:rPr>
        <w:t xml:space="preserve"> сельского поселения</w:t>
      </w:r>
      <w:r w:rsidR="007515A1"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51"/>
        <w:gridCol w:w="2995"/>
        <w:gridCol w:w="1556"/>
        <w:gridCol w:w="1089"/>
        <w:gridCol w:w="2881"/>
      </w:tblGrid>
      <w:tr w:rsidR="007515A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7515A1" w:rsidRPr="002C7F39" w:rsidRDefault="007515A1" w:rsidP="002C7F39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</w:t>
      </w:r>
      <w:r w:rsidR="002C7F39">
        <w:rPr>
          <w:sz w:val="22"/>
          <w:szCs w:val="22"/>
        </w:rPr>
        <w:t>тов СанПиН 2.2.1/2.1.1.1200-03.</w:t>
      </w:r>
    </w:p>
    <w:p w:rsidR="002C7F39" w:rsidRDefault="002C7F39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="00AE5BFD" w:rsidRPr="00AE5BFD">
        <w:rPr>
          <w:b/>
          <w:sz w:val="26"/>
          <w:szCs w:val="26"/>
        </w:rPr>
        <w:t>Малотаябинского</w:t>
      </w:r>
      <w:proofErr w:type="spellEnd"/>
      <w:r w:rsidR="00AE5BFD" w:rsidRPr="00AE5BFD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 xml:space="preserve">  </w:t>
      </w:r>
      <w:proofErr w:type="spellStart"/>
      <w:r w:rsidR="00AE5BFD" w:rsidRPr="00AE5BFD">
        <w:rPr>
          <w:b/>
          <w:sz w:val="26"/>
          <w:szCs w:val="26"/>
        </w:rPr>
        <w:t>Малотаябинского</w:t>
      </w:r>
      <w:proofErr w:type="spellEnd"/>
      <w:r w:rsidR="00AE5BFD" w:rsidRPr="00AE5BFD">
        <w:rPr>
          <w:b/>
          <w:sz w:val="26"/>
          <w:szCs w:val="26"/>
        </w:rPr>
        <w:t xml:space="preserve"> сельского поселения</w:t>
      </w:r>
      <w:r w:rsidR="00AE5BFD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103"/>
        <w:gridCol w:w="1581"/>
        <w:gridCol w:w="1757"/>
        <w:gridCol w:w="1581"/>
        <w:gridCol w:w="1753"/>
      </w:tblGrid>
      <w:tr w:rsidR="007515A1" w:rsidRPr="009C5A3F" w:rsidTr="0087647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lastRenderedPageBreak/>
              <w:t xml:space="preserve">Расчетный показатель </w:t>
            </w:r>
            <w:r w:rsidRPr="009C5A3F">
              <w:rPr>
                <w:sz w:val="22"/>
              </w:rPr>
              <w:lastRenderedPageBreak/>
              <w:t>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0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</w:p>
        </w:tc>
        <w:tc>
          <w:tcPr>
            <w:tcW w:w="85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</w:tr>
    </w:tbl>
    <w:p w:rsidR="007515A1" w:rsidRPr="0056210D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079"/>
        <w:gridCol w:w="1593"/>
        <w:gridCol w:w="1757"/>
        <w:gridCol w:w="1583"/>
        <w:gridCol w:w="1757"/>
      </w:tblGrid>
      <w:tr w:rsidR="007515A1" w:rsidRPr="0056210D" w:rsidTr="0087647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56210D" w:rsidRDefault="007515A1" w:rsidP="003E055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Количество на 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 дорогах категорий I – III автобусные остановки следует назначать не чаще чем через 3000 м, в густонаселенной местности – 1500 м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800</w:t>
            </w:r>
          </w:p>
        </w:tc>
      </w:tr>
      <w:tr w:rsidR="007515A1" w:rsidRPr="009C5A3F" w:rsidTr="0087647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</w:t>
            </w:r>
          </w:p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Расстояние между остановочными пунктами на линии общественного транспорта, м</w:t>
            </w:r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7515A1" w:rsidRPr="009C5A3F" w:rsidRDefault="00584682" w:rsidP="003E05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автобусов</w:t>
            </w:r>
            <w:r w:rsidR="007515A1" w:rsidRPr="009C5A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входа в жилое здание,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2C7F39" w:rsidP="003E0553">
            <w:pPr>
              <w:ind w:left="23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общественном </w:t>
            </w:r>
            <w:r w:rsidR="007515A1" w:rsidRPr="009C5A3F">
              <w:rPr>
                <w:color w:val="000000"/>
                <w:sz w:val="22"/>
                <w:szCs w:val="22"/>
              </w:rPr>
              <w:t xml:space="preserve">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объектов массового посещения,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проходных предприятий,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515A1" w:rsidRPr="009C5A3F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От главного входа,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 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транспортное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2500</w:t>
            </w:r>
          </w:p>
        </w:tc>
      </w:tr>
      <w:tr w:rsidR="007515A1" w:rsidRPr="009C5A3F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Pr="009C5A3F">
              <w:rPr>
                <w:color w:val="000000"/>
                <w:sz w:val="22"/>
                <w:szCs w:val="22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От конечных остановок общественного транспорта, 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2C7F39" w:rsidRDefault="002C7F39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.3. Предельные значения расчетных показателей минимально допустимого уровня обеспеченности населения </w:t>
      </w:r>
      <w:proofErr w:type="spellStart"/>
      <w:r w:rsidR="002C7F39">
        <w:rPr>
          <w:rFonts w:ascii="Times New Roman" w:hAnsi="Times New Roman"/>
          <w:i w:val="0"/>
        </w:rPr>
        <w:t>Малотаябинского</w:t>
      </w:r>
      <w:proofErr w:type="spellEnd"/>
      <w:r w:rsidR="002C7F39">
        <w:rPr>
          <w:rFonts w:ascii="Times New Roman" w:hAnsi="Times New Roman"/>
          <w:i w:val="0"/>
        </w:rPr>
        <w:t xml:space="preserve">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2C7F39">
        <w:rPr>
          <w:rFonts w:ascii="Times New Roman" w:hAnsi="Times New Roman"/>
          <w:i w:val="0"/>
        </w:rPr>
        <w:t>Малотаябинского</w:t>
      </w:r>
      <w:proofErr w:type="spellEnd"/>
      <w:r w:rsidR="002C7F39">
        <w:rPr>
          <w:rFonts w:ascii="Times New Roman" w:hAnsi="Times New Roman"/>
          <w:i w:val="0"/>
        </w:rPr>
        <w:t xml:space="preserve"> сельского поселения</w:t>
      </w:r>
      <w:r w:rsidR="002C7F39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490"/>
        <w:gridCol w:w="2298"/>
        <w:gridCol w:w="1089"/>
        <w:gridCol w:w="1590"/>
        <w:gridCol w:w="1089"/>
      </w:tblGrid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7515A1" w:rsidRPr="009C5A3F" w:rsidRDefault="007515A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1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379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27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28"/>
        <w:gridCol w:w="2502"/>
        <w:gridCol w:w="2310"/>
        <w:gridCol w:w="1065"/>
        <w:gridCol w:w="1602"/>
        <w:gridCol w:w="1065"/>
      </w:tblGrid>
      <w:tr w:rsidR="007515A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3327C7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87647F">
              <w:rPr>
                <w:sz w:val="22"/>
                <w:szCs w:val="22"/>
              </w:rPr>
              <w:t>ельское</w:t>
            </w:r>
            <w:r w:rsidR="007515A1" w:rsidRPr="009C5A3F"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7515A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837B92" w:rsidRDefault="007515A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3327C7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87647F">
              <w:rPr>
                <w:sz w:val="22"/>
                <w:szCs w:val="22"/>
              </w:rPr>
              <w:t>ельское</w:t>
            </w:r>
            <w:r w:rsidR="007515A1" w:rsidRPr="009C5A3F"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7515A1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.4. Предельные значения расчетных показателей минимально допустимого </w:t>
      </w:r>
      <w:r w:rsidR="003327C7">
        <w:rPr>
          <w:rFonts w:ascii="Times New Roman" w:hAnsi="Times New Roman"/>
          <w:i w:val="0"/>
        </w:rPr>
        <w:t>уровня обеспеченности населения</w:t>
      </w:r>
      <w:r w:rsidRPr="009C5A3F">
        <w:rPr>
          <w:rFonts w:ascii="Times New Roman" w:hAnsi="Times New Roman"/>
          <w:i w:val="0"/>
        </w:rPr>
        <w:t xml:space="preserve"> </w:t>
      </w:r>
      <w:proofErr w:type="spellStart"/>
      <w:r w:rsidR="003327C7">
        <w:rPr>
          <w:rFonts w:ascii="Times New Roman" w:hAnsi="Times New Roman"/>
          <w:i w:val="0"/>
        </w:rPr>
        <w:t>Малотаябинского</w:t>
      </w:r>
      <w:proofErr w:type="spellEnd"/>
      <w:r w:rsidR="003327C7">
        <w:rPr>
          <w:rFonts w:ascii="Times New Roman" w:hAnsi="Times New Roman"/>
          <w:i w:val="0"/>
        </w:rPr>
        <w:t xml:space="preserve"> сельского поселения</w:t>
      </w:r>
      <w:r w:rsidR="003327C7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proofErr w:type="spellStart"/>
      <w:r w:rsidR="003327C7">
        <w:rPr>
          <w:rFonts w:ascii="Times New Roman" w:hAnsi="Times New Roman"/>
          <w:i w:val="0"/>
        </w:rPr>
        <w:t>Малотаябинского</w:t>
      </w:r>
      <w:proofErr w:type="spellEnd"/>
      <w:r w:rsidR="003327C7">
        <w:rPr>
          <w:rFonts w:ascii="Times New Roman" w:hAnsi="Times New Roman"/>
          <w:i w:val="0"/>
        </w:rPr>
        <w:t xml:space="preserve"> сельского поселения</w:t>
      </w:r>
      <w:r w:rsidR="003327C7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9C5A3F" w:rsidRDefault="007515A1" w:rsidP="008E2324"/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809"/>
        <w:gridCol w:w="1760"/>
        <w:gridCol w:w="1180"/>
        <w:gridCol w:w="1633"/>
        <w:gridCol w:w="1139"/>
      </w:tblGrid>
      <w:tr w:rsidR="007515A1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6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6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98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814"/>
        <w:gridCol w:w="1756"/>
        <w:gridCol w:w="1230"/>
        <w:gridCol w:w="1584"/>
        <w:gridCol w:w="1230"/>
      </w:tblGrid>
      <w:tr w:rsidR="007515A1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7515A1" w:rsidRPr="00E83AEE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7515A1" w:rsidRPr="00E04C6B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7515A1" w:rsidRPr="009C5A3F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proofErr w:type="spellStart"/>
      <w:r w:rsidR="00D80A96">
        <w:rPr>
          <w:rFonts w:ascii="Times New Roman" w:hAnsi="Times New Roman"/>
          <w:i w:val="0"/>
        </w:rPr>
        <w:t>Малотаябинского</w:t>
      </w:r>
      <w:proofErr w:type="spellEnd"/>
      <w:r w:rsidR="00D80A96">
        <w:rPr>
          <w:rFonts w:ascii="Times New Roman" w:hAnsi="Times New Roman"/>
          <w:i w:val="0"/>
        </w:rPr>
        <w:t xml:space="preserve"> сельского поселения</w:t>
      </w:r>
      <w:r w:rsidR="00D80A96" w:rsidRPr="009C5A3F">
        <w:rPr>
          <w:rFonts w:ascii="Times New Roman" w:hAnsi="Times New Roman"/>
          <w:i w:val="0"/>
        </w:rPr>
        <w:t xml:space="preserve"> </w:t>
      </w:r>
      <w:r w:rsidR="00D80A96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D80A96">
        <w:rPr>
          <w:rFonts w:ascii="Times New Roman" w:hAnsi="Times New Roman"/>
          <w:i w:val="0"/>
        </w:rPr>
        <w:t>Малотаябинского</w:t>
      </w:r>
      <w:proofErr w:type="spellEnd"/>
      <w:r w:rsidR="00D80A96">
        <w:rPr>
          <w:rFonts w:ascii="Times New Roman" w:hAnsi="Times New Roman"/>
          <w:i w:val="0"/>
        </w:rPr>
        <w:t xml:space="preserve">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2939"/>
        <w:gridCol w:w="1789"/>
        <w:gridCol w:w="1569"/>
        <w:gridCol w:w="1401"/>
        <w:gridCol w:w="896"/>
      </w:tblGrid>
      <w:tr w:rsidR="007515A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минимально допустимого уровня </w:t>
            </w:r>
            <w:r w:rsidRPr="009C5A3F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</w:t>
            </w:r>
            <w:r w:rsidRPr="009C5A3F">
              <w:rPr>
                <w:sz w:val="22"/>
                <w:szCs w:val="22"/>
              </w:rPr>
              <w:lastRenderedPageBreak/>
              <w:t>допустимого уровня территориальной доступности</w:t>
            </w:r>
          </w:p>
        </w:tc>
      </w:tr>
      <w:tr w:rsidR="007515A1" w:rsidRPr="009C5A3F" w:rsidTr="005819E8">
        <w:tc>
          <w:tcPr>
            <w:tcW w:w="26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4"/>
        <w:gridCol w:w="2923"/>
        <w:gridCol w:w="1829"/>
        <w:gridCol w:w="1542"/>
        <w:gridCol w:w="1404"/>
        <w:gridCol w:w="880"/>
      </w:tblGrid>
      <w:tr w:rsidR="007515A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 w:rsidR="00D80A9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 w:rsidR="00D80A9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D80A96" w:rsidP="003E0553">
            <w:r>
              <w:rPr>
                <w:sz w:val="22"/>
                <w:szCs w:val="22"/>
              </w:rPr>
              <w:t>5.1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</w:t>
      </w:r>
      <w:r w:rsidR="00B2662D">
        <w:rPr>
          <w:rFonts w:ascii="Times New Roman" w:hAnsi="Times New Roman"/>
          <w:i w:val="0"/>
        </w:rPr>
        <w:t>уровня обеспеченности населения</w:t>
      </w:r>
      <w:r w:rsidR="00B2662D" w:rsidRPr="00B2662D">
        <w:rPr>
          <w:rFonts w:ascii="Times New Roman" w:hAnsi="Times New Roman"/>
          <w:i w:val="0"/>
        </w:rPr>
        <w:t xml:space="preserve"> </w:t>
      </w:r>
      <w:proofErr w:type="spellStart"/>
      <w:r w:rsidR="00B2662D">
        <w:rPr>
          <w:rFonts w:ascii="Times New Roman" w:hAnsi="Times New Roman"/>
          <w:i w:val="0"/>
        </w:rPr>
        <w:t>Малотаябинского</w:t>
      </w:r>
      <w:proofErr w:type="spellEnd"/>
      <w:r w:rsidR="00B2662D">
        <w:rPr>
          <w:rFonts w:ascii="Times New Roman" w:hAnsi="Times New Roman"/>
          <w:i w:val="0"/>
        </w:rPr>
        <w:t xml:space="preserve"> сельского поселения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</w:t>
      </w:r>
      <w:r w:rsidR="00B2662D">
        <w:rPr>
          <w:rFonts w:ascii="Times New Roman" w:hAnsi="Times New Roman"/>
          <w:i w:val="0"/>
        </w:rPr>
        <w:t>ти таких объектов для населения</w:t>
      </w:r>
      <w:r w:rsidRPr="009C5A3F">
        <w:rPr>
          <w:rFonts w:ascii="Times New Roman" w:hAnsi="Times New Roman"/>
          <w:i w:val="0"/>
        </w:rPr>
        <w:t xml:space="preserve"> </w:t>
      </w:r>
      <w:proofErr w:type="spellStart"/>
      <w:r w:rsidR="00B2662D" w:rsidRPr="00B2662D">
        <w:rPr>
          <w:rFonts w:ascii="Times New Roman" w:hAnsi="Times New Roman"/>
          <w:i w:val="0"/>
        </w:rPr>
        <w:t>Малотаябинского</w:t>
      </w:r>
      <w:proofErr w:type="spellEnd"/>
      <w:r w:rsidR="00B2662D" w:rsidRPr="00B2662D">
        <w:rPr>
          <w:rFonts w:ascii="Times New Roman" w:hAnsi="Times New Roman"/>
          <w:i w:val="0"/>
        </w:rPr>
        <w:t xml:space="preserve"> сельского</w:t>
      </w:r>
      <w:r w:rsidR="00B2662D">
        <w:rPr>
          <w:rFonts w:ascii="Times New Roman" w:hAnsi="Times New Roman"/>
          <w:i w:val="0"/>
        </w:rPr>
        <w:t xml:space="preserve"> поселения</w:t>
      </w:r>
      <w:r w:rsidR="00B2662D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2"/>
        <w:gridCol w:w="3118"/>
        <w:gridCol w:w="7"/>
        <w:gridCol w:w="1547"/>
        <w:gridCol w:w="1089"/>
        <w:gridCol w:w="1739"/>
        <w:gridCol w:w="1089"/>
      </w:tblGrid>
      <w:tr w:rsidR="007515A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5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7515A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7515A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2,7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515A1" w:rsidRPr="009C5A3F" w:rsidRDefault="007515A1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7</w:t>
      </w:r>
      <w:r w:rsidRPr="009C5A3F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proofErr w:type="spellStart"/>
      <w:r w:rsidR="003121B4">
        <w:rPr>
          <w:rFonts w:ascii="Times New Roman" w:hAnsi="Times New Roman"/>
          <w:i w:val="0"/>
        </w:rPr>
        <w:t>Малотаябинского</w:t>
      </w:r>
      <w:proofErr w:type="spellEnd"/>
      <w:r w:rsidR="003121B4">
        <w:rPr>
          <w:rFonts w:ascii="Times New Roman" w:hAnsi="Times New Roman"/>
          <w:i w:val="0"/>
        </w:rPr>
        <w:t xml:space="preserve"> сельского поселения 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3121B4">
        <w:rPr>
          <w:rFonts w:ascii="Times New Roman" w:hAnsi="Times New Roman"/>
          <w:i w:val="0"/>
        </w:rPr>
        <w:t>Малотаябинского</w:t>
      </w:r>
      <w:proofErr w:type="spellEnd"/>
      <w:r w:rsidR="003121B4">
        <w:rPr>
          <w:rFonts w:ascii="Times New Roman" w:hAnsi="Times New Roman"/>
          <w:i w:val="0"/>
        </w:rPr>
        <w:t xml:space="preserve"> сельского поселения</w:t>
      </w:r>
      <w:r w:rsidR="003121B4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716"/>
        <w:gridCol w:w="1598"/>
        <w:gridCol w:w="1089"/>
        <w:gridCol w:w="2058"/>
        <w:gridCol w:w="1089"/>
      </w:tblGrid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03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A24EA4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34"/>
        <w:gridCol w:w="2727"/>
        <w:gridCol w:w="1609"/>
        <w:gridCol w:w="1067"/>
        <w:gridCol w:w="2068"/>
        <w:gridCol w:w="1067"/>
      </w:tblGrid>
      <w:tr w:rsidR="007515A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10059D" w:rsidP="003E0553">
            <w:r>
              <w:rPr>
                <w:sz w:val="22"/>
              </w:rPr>
              <w:t>1</w:t>
            </w:r>
            <w:r w:rsidR="007515A1" w:rsidRPr="009C5A3F">
              <w:rPr>
                <w:sz w:val="22"/>
              </w:rPr>
              <w:t>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</w:t>
            </w:r>
            <w:r w:rsidR="0010059D">
              <w:rPr>
                <w:sz w:val="22"/>
                <w:szCs w:val="22"/>
              </w:rPr>
              <w:t>адбища</w:t>
            </w:r>
            <w:r w:rsidRPr="009C5A3F">
              <w:rPr>
                <w:sz w:val="22"/>
                <w:szCs w:val="22"/>
              </w:rPr>
              <w:t>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lastRenderedPageBreak/>
        <w:t xml:space="preserve">2. Материалы по обоснованию расчетных показателей,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 w:rsidR="005505C9">
        <w:rPr>
          <w:rFonts w:ascii="Times New Roman" w:hAnsi="Times New Roman"/>
          <w:i w:val="0"/>
        </w:rPr>
        <w:t xml:space="preserve"> </w:t>
      </w:r>
      <w:proofErr w:type="spellStart"/>
      <w:r w:rsidR="005505C9">
        <w:rPr>
          <w:rFonts w:ascii="Times New Roman" w:hAnsi="Times New Roman"/>
          <w:i w:val="0"/>
        </w:rPr>
        <w:t>Малотаябинского</w:t>
      </w:r>
      <w:proofErr w:type="spellEnd"/>
      <w:r w:rsidR="005505C9">
        <w:rPr>
          <w:rFonts w:ascii="Times New Roman" w:hAnsi="Times New Roman"/>
          <w:i w:val="0"/>
        </w:rPr>
        <w:t xml:space="preserve"> сельского поселения</w:t>
      </w:r>
      <w:r w:rsidR="005505C9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8908B8" w:rsidRDefault="007515A1" w:rsidP="008E2324">
      <w:pPr>
        <w:ind w:firstLine="851"/>
        <w:jc w:val="both"/>
        <w:rPr>
          <w:sz w:val="28"/>
          <w:szCs w:val="28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proofErr w:type="spellStart"/>
      <w:r w:rsidR="005505C9" w:rsidRPr="005505C9">
        <w:rPr>
          <w:b/>
          <w:sz w:val="26"/>
          <w:szCs w:val="26"/>
        </w:rPr>
        <w:t>Малотаябинского</w:t>
      </w:r>
      <w:proofErr w:type="spellEnd"/>
      <w:r w:rsidR="005505C9" w:rsidRPr="005505C9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/>
          <w:sz w:val="26"/>
          <w:szCs w:val="26"/>
        </w:rPr>
        <w:softHyphen/>
        <w:t xml:space="preserve">тов для населения </w:t>
      </w:r>
      <w:proofErr w:type="spellStart"/>
      <w:r w:rsidR="005505C9" w:rsidRPr="005505C9">
        <w:rPr>
          <w:b/>
          <w:sz w:val="26"/>
          <w:szCs w:val="26"/>
        </w:rPr>
        <w:t>Малотаябинского</w:t>
      </w:r>
      <w:proofErr w:type="spellEnd"/>
      <w:r w:rsidR="005505C9" w:rsidRPr="005505C9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 xml:space="preserve">мально допустимого уровня обеспеченности населения </w:t>
      </w:r>
      <w:proofErr w:type="spellStart"/>
      <w:r w:rsidR="005505C9" w:rsidRPr="005505C9">
        <w:rPr>
          <w:sz w:val="26"/>
          <w:szCs w:val="26"/>
        </w:rPr>
        <w:t>Малотаябинского</w:t>
      </w:r>
      <w:proofErr w:type="spellEnd"/>
      <w:r w:rsidR="005505C9" w:rsidRPr="005505C9">
        <w:rPr>
          <w:sz w:val="26"/>
          <w:szCs w:val="26"/>
        </w:rPr>
        <w:t xml:space="preserve"> сельского поселения</w:t>
      </w:r>
      <w:r w:rsidRPr="009C5A3F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 xml:space="preserve">тов для населения </w:t>
      </w:r>
      <w:proofErr w:type="spellStart"/>
      <w:r w:rsidR="005505C9" w:rsidRPr="005505C9">
        <w:rPr>
          <w:sz w:val="26"/>
          <w:szCs w:val="26"/>
        </w:rPr>
        <w:t>Малотаябинского</w:t>
      </w:r>
      <w:proofErr w:type="spellEnd"/>
      <w:r w:rsidR="005505C9" w:rsidRPr="005505C9">
        <w:rPr>
          <w:sz w:val="26"/>
          <w:szCs w:val="26"/>
        </w:rPr>
        <w:t xml:space="preserve"> сельского поселения</w:t>
      </w:r>
      <w:r w:rsidRPr="005505C9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 xml:space="preserve">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126"/>
        <w:gridCol w:w="2030"/>
        <w:gridCol w:w="4353"/>
      </w:tblGrid>
      <w:tr w:rsidR="007515A1" w:rsidRPr="009C5A3F" w:rsidTr="003E0553">
        <w:tc>
          <w:tcPr>
            <w:tcW w:w="310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72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 w:firstRow="1" w:lastRow="0" w:firstColumn="1" w:lastColumn="0" w:noHBand="0" w:noVBand="0"/>
      </w:tblPr>
      <w:tblGrid>
        <w:gridCol w:w="489"/>
        <w:gridCol w:w="2349"/>
        <w:gridCol w:w="1957"/>
        <w:gridCol w:w="4277"/>
      </w:tblGrid>
      <w:tr w:rsidR="007515A1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тепло-, газо-, водоснабжения и водоотведения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Места хранения личного автотранспорта населения 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 xml:space="preserve">65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</w:t>
            </w:r>
            <w:proofErr w:type="spellEnd"/>
            <w:r w:rsidRPr="009C5A3F">
              <w:rPr>
                <w:b/>
                <w:sz w:val="22"/>
                <w:szCs w:val="22"/>
              </w:rPr>
              <w:t>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</w:t>
            </w:r>
            <w:r w:rsidRPr="009C5A3F">
              <w:rPr>
                <w:sz w:val="22"/>
                <w:szCs w:val="22"/>
              </w:rPr>
              <w:lastRenderedPageBreak/>
              <w:t xml:space="preserve">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4D77B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 xml:space="preserve">, приказа </w:t>
            </w:r>
            <w:proofErr w:type="spellStart"/>
            <w:r>
              <w:rPr>
                <w:sz w:val="22"/>
                <w:szCs w:val="22"/>
              </w:rPr>
              <w:t>Минспорта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</w:t>
            </w:r>
            <w:r>
              <w:lastRenderedPageBreak/>
              <w:t>культуры и спорта и обеспеченности населения услугами таких организаций»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7515A1" w:rsidRPr="009C5A3F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 xml:space="preserve">Предельное значение расчетного </w:t>
            </w:r>
            <w:r w:rsidRPr="009C5A3F">
              <w:rPr>
                <w:sz w:val="22"/>
                <w:szCs w:val="22"/>
              </w:rPr>
              <w:lastRenderedPageBreak/>
              <w:t>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7515A1" w:rsidRDefault="007515A1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</w:p>
          <w:p w:rsidR="00325379" w:rsidRPr="004D77BC" w:rsidRDefault="00325379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</w:p>
        </w:tc>
      </w:tr>
      <w:tr w:rsidR="007515A1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1438F1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lastRenderedPageBreak/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 xml:space="preserve"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</w:t>
            </w:r>
            <w:r w:rsidRPr="009C5A3F">
              <w:rPr>
                <w:sz w:val="22"/>
                <w:szCs w:val="22"/>
              </w:rPr>
              <w:lastRenderedPageBreak/>
              <w:t>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</w:t>
            </w:r>
            <w:r w:rsidRPr="009C5A3F">
              <w:rPr>
                <w:sz w:val="22"/>
                <w:szCs w:val="22"/>
              </w:rPr>
              <w:lastRenderedPageBreak/>
              <w:t>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7515A1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7515A1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325379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</w:t>
            </w:r>
            <w:r w:rsidRPr="009C5A3F">
              <w:rPr>
                <w:sz w:val="22"/>
                <w:szCs w:val="22"/>
              </w:rPr>
              <w:lastRenderedPageBreak/>
              <w:t xml:space="preserve">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5.</w:t>
            </w:r>
            <w:r w:rsidR="00325379"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 </w:t>
            </w:r>
            <w:r w:rsidR="00325379">
              <w:rPr>
                <w:sz w:val="22"/>
                <w:szCs w:val="22"/>
              </w:rPr>
              <w:t xml:space="preserve">                              (</w:t>
            </w:r>
            <w:r w:rsidRPr="009C5A3F">
              <w:rPr>
                <w:sz w:val="22"/>
                <w:szCs w:val="22"/>
              </w:rPr>
              <w:t>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325379" w:rsidP="003E055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Закрытые кладбища и</w:t>
            </w:r>
            <w:r w:rsidR="007515A1"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7515A1" w:rsidRPr="009C5A3F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Pr="009C5A3F">
        <w:rPr>
          <w:rFonts w:ascii="Times New Roman" w:hAnsi="Times New Roman"/>
          <w:sz w:val="26"/>
          <w:szCs w:val="26"/>
        </w:rPr>
        <w:lastRenderedPageBreak/>
        <w:t xml:space="preserve">3. Правила и область применения расчетных показателей,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proofErr w:type="spellStart"/>
      <w:r w:rsidR="00325379" w:rsidRPr="00325379">
        <w:rPr>
          <w:rFonts w:ascii="Times New Roman" w:hAnsi="Times New Roman"/>
          <w:sz w:val="26"/>
          <w:szCs w:val="26"/>
        </w:rPr>
        <w:t>Малотаябинского</w:t>
      </w:r>
      <w:proofErr w:type="spellEnd"/>
      <w:r w:rsidR="00325379" w:rsidRPr="00325379">
        <w:rPr>
          <w:rFonts w:ascii="Times New Roman" w:hAnsi="Times New Roman"/>
          <w:sz w:val="26"/>
          <w:szCs w:val="26"/>
        </w:rPr>
        <w:t xml:space="preserve"> сельского </w:t>
      </w:r>
      <w:r w:rsidRPr="00325379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7515A1" w:rsidRPr="009C5A3F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7515A1" w:rsidRPr="00223143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>альных гарантий граждан, включая маломобильные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7515A1" w:rsidRPr="004E5B99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7515A1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7515A1" w:rsidRPr="009C5A3F" w:rsidRDefault="007515A1" w:rsidP="0029446A">
      <w:pPr>
        <w:rPr>
          <w:sz w:val="26"/>
        </w:rPr>
      </w:pPr>
    </w:p>
    <w:p w:rsidR="007515A1" w:rsidRPr="009C5A3F" w:rsidRDefault="007515A1" w:rsidP="0029446A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7515A1" w:rsidRDefault="007515A1" w:rsidP="0029446A">
      <w:pPr>
        <w:pStyle w:val="6"/>
        <w:spacing w:before="0" w:after="0"/>
        <w:jc w:val="center"/>
      </w:pPr>
    </w:p>
    <w:sectPr w:rsidR="007515A1" w:rsidSect="003E0553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17" w:rsidRDefault="00741F17" w:rsidP="006C3996">
      <w:r>
        <w:separator/>
      </w:r>
    </w:p>
  </w:endnote>
  <w:endnote w:type="continuationSeparator" w:id="0">
    <w:p w:rsidR="00741F17" w:rsidRDefault="00741F17" w:rsidP="006C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17" w:rsidRDefault="00741F17" w:rsidP="006C3996">
      <w:r>
        <w:separator/>
      </w:r>
    </w:p>
  </w:footnote>
  <w:footnote w:type="continuationSeparator" w:id="0">
    <w:p w:rsidR="00741F17" w:rsidRDefault="00741F17" w:rsidP="006C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5" w:rsidRDefault="00B31F25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1F25" w:rsidRDefault="00B31F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5" w:rsidRDefault="00B31F25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D102A">
      <w:rPr>
        <w:rStyle w:val="afc"/>
        <w:noProof/>
      </w:rPr>
      <w:t>20</w:t>
    </w:r>
    <w:r>
      <w:rPr>
        <w:rStyle w:val="afc"/>
      </w:rPr>
      <w:fldChar w:fldCharType="end"/>
    </w:r>
  </w:p>
  <w:p w:rsidR="00B31F25" w:rsidRDefault="00B31F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24"/>
    <w:rsid w:val="00001C23"/>
    <w:rsid w:val="000172F6"/>
    <w:rsid w:val="00046793"/>
    <w:rsid w:val="00061174"/>
    <w:rsid w:val="00061C4B"/>
    <w:rsid w:val="000A1783"/>
    <w:rsid w:val="000D76CF"/>
    <w:rsid w:val="000D7ACA"/>
    <w:rsid w:val="000F1189"/>
    <w:rsid w:val="0010059D"/>
    <w:rsid w:val="00121433"/>
    <w:rsid w:val="00121A67"/>
    <w:rsid w:val="00122B42"/>
    <w:rsid w:val="0012354E"/>
    <w:rsid w:val="001438F1"/>
    <w:rsid w:val="001621C4"/>
    <w:rsid w:val="00185104"/>
    <w:rsid w:val="00187482"/>
    <w:rsid w:val="00190028"/>
    <w:rsid w:val="001D3237"/>
    <w:rsid w:val="001F55B0"/>
    <w:rsid w:val="0020582C"/>
    <w:rsid w:val="00223143"/>
    <w:rsid w:val="0023022F"/>
    <w:rsid w:val="002530A2"/>
    <w:rsid w:val="00255C30"/>
    <w:rsid w:val="0029446A"/>
    <w:rsid w:val="00296E4C"/>
    <w:rsid w:val="002A1B75"/>
    <w:rsid w:val="002C7F39"/>
    <w:rsid w:val="002E5FCA"/>
    <w:rsid w:val="002F56C8"/>
    <w:rsid w:val="00307AC5"/>
    <w:rsid w:val="003121B4"/>
    <w:rsid w:val="00317BCC"/>
    <w:rsid w:val="00325379"/>
    <w:rsid w:val="003327C7"/>
    <w:rsid w:val="00340482"/>
    <w:rsid w:val="0034552C"/>
    <w:rsid w:val="00345626"/>
    <w:rsid w:val="003578FD"/>
    <w:rsid w:val="003730F6"/>
    <w:rsid w:val="00392DA5"/>
    <w:rsid w:val="003B3EA2"/>
    <w:rsid w:val="003C4622"/>
    <w:rsid w:val="003E0553"/>
    <w:rsid w:val="00400424"/>
    <w:rsid w:val="00414DFE"/>
    <w:rsid w:val="00420337"/>
    <w:rsid w:val="004363A0"/>
    <w:rsid w:val="0045251B"/>
    <w:rsid w:val="00453117"/>
    <w:rsid w:val="00463C08"/>
    <w:rsid w:val="00464561"/>
    <w:rsid w:val="00476EBD"/>
    <w:rsid w:val="00481949"/>
    <w:rsid w:val="004838DD"/>
    <w:rsid w:val="004A4DFC"/>
    <w:rsid w:val="004C47F7"/>
    <w:rsid w:val="004C6A65"/>
    <w:rsid w:val="004D2E39"/>
    <w:rsid w:val="004D77BC"/>
    <w:rsid w:val="004E5B99"/>
    <w:rsid w:val="004F654E"/>
    <w:rsid w:val="00503F28"/>
    <w:rsid w:val="0051719B"/>
    <w:rsid w:val="005204A5"/>
    <w:rsid w:val="00543156"/>
    <w:rsid w:val="005505C9"/>
    <w:rsid w:val="00551830"/>
    <w:rsid w:val="00561483"/>
    <w:rsid w:val="0056210D"/>
    <w:rsid w:val="005701EF"/>
    <w:rsid w:val="005819E8"/>
    <w:rsid w:val="00584682"/>
    <w:rsid w:val="005C062F"/>
    <w:rsid w:val="005E1047"/>
    <w:rsid w:val="005E23DC"/>
    <w:rsid w:val="005E6E10"/>
    <w:rsid w:val="005F0626"/>
    <w:rsid w:val="00601815"/>
    <w:rsid w:val="006148EF"/>
    <w:rsid w:val="00694C5F"/>
    <w:rsid w:val="006C1530"/>
    <w:rsid w:val="006C3996"/>
    <w:rsid w:val="006C7F10"/>
    <w:rsid w:val="00726467"/>
    <w:rsid w:val="00737EEB"/>
    <w:rsid w:val="00741F17"/>
    <w:rsid w:val="00745369"/>
    <w:rsid w:val="007515A1"/>
    <w:rsid w:val="00754EC4"/>
    <w:rsid w:val="007876EF"/>
    <w:rsid w:val="00794088"/>
    <w:rsid w:val="007A56AD"/>
    <w:rsid w:val="00821D47"/>
    <w:rsid w:val="00832395"/>
    <w:rsid w:val="00837B92"/>
    <w:rsid w:val="00843719"/>
    <w:rsid w:val="00855070"/>
    <w:rsid w:val="00870D12"/>
    <w:rsid w:val="008719DA"/>
    <w:rsid w:val="0087647F"/>
    <w:rsid w:val="00877AEB"/>
    <w:rsid w:val="00885DEF"/>
    <w:rsid w:val="008908B8"/>
    <w:rsid w:val="008A33BC"/>
    <w:rsid w:val="008B2EF4"/>
    <w:rsid w:val="008E2324"/>
    <w:rsid w:val="008E7C19"/>
    <w:rsid w:val="0090173B"/>
    <w:rsid w:val="00927BE2"/>
    <w:rsid w:val="00934B35"/>
    <w:rsid w:val="0094131C"/>
    <w:rsid w:val="0094285A"/>
    <w:rsid w:val="00942E96"/>
    <w:rsid w:val="009740BA"/>
    <w:rsid w:val="00985C6E"/>
    <w:rsid w:val="009B2850"/>
    <w:rsid w:val="009B2EE8"/>
    <w:rsid w:val="009C09EE"/>
    <w:rsid w:val="009C3297"/>
    <w:rsid w:val="009C5A3F"/>
    <w:rsid w:val="009C7841"/>
    <w:rsid w:val="009E0581"/>
    <w:rsid w:val="00A24EA4"/>
    <w:rsid w:val="00A35264"/>
    <w:rsid w:val="00AA71E6"/>
    <w:rsid w:val="00AD102A"/>
    <w:rsid w:val="00AD7069"/>
    <w:rsid w:val="00AE5BFD"/>
    <w:rsid w:val="00AF6292"/>
    <w:rsid w:val="00B00B65"/>
    <w:rsid w:val="00B14FBE"/>
    <w:rsid w:val="00B20E02"/>
    <w:rsid w:val="00B21DB1"/>
    <w:rsid w:val="00B22553"/>
    <w:rsid w:val="00B2662D"/>
    <w:rsid w:val="00B31F25"/>
    <w:rsid w:val="00B478A6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13208"/>
    <w:rsid w:val="00C2312F"/>
    <w:rsid w:val="00C26967"/>
    <w:rsid w:val="00C37529"/>
    <w:rsid w:val="00CA4489"/>
    <w:rsid w:val="00CC02B1"/>
    <w:rsid w:val="00CC3584"/>
    <w:rsid w:val="00CD7494"/>
    <w:rsid w:val="00CE622E"/>
    <w:rsid w:val="00CE644D"/>
    <w:rsid w:val="00D062EF"/>
    <w:rsid w:val="00D361F8"/>
    <w:rsid w:val="00D369E6"/>
    <w:rsid w:val="00D424E9"/>
    <w:rsid w:val="00D50A91"/>
    <w:rsid w:val="00D55F7E"/>
    <w:rsid w:val="00D80A96"/>
    <w:rsid w:val="00D975B7"/>
    <w:rsid w:val="00DE6B69"/>
    <w:rsid w:val="00E04C6B"/>
    <w:rsid w:val="00E83AEE"/>
    <w:rsid w:val="00EB61B3"/>
    <w:rsid w:val="00ED5F84"/>
    <w:rsid w:val="00EE4FAC"/>
    <w:rsid w:val="00EF4437"/>
    <w:rsid w:val="00F0272F"/>
    <w:rsid w:val="00F1473D"/>
    <w:rsid w:val="00F20886"/>
    <w:rsid w:val="00F3199E"/>
    <w:rsid w:val="00F31F42"/>
    <w:rsid w:val="00F50F4B"/>
    <w:rsid w:val="00FC44F7"/>
    <w:rsid w:val="00FE61DE"/>
    <w:rsid w:val="00FE780E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A5874C-7D25-405F-BA0C-26B9924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eastAsia="Times New Roman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  <w:rPr>
      <w:sz w:val="22"/>
      <w:szCs w:val="22"/>
    </w:rPr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FE1-A858-4AA7-ADF6-860300BE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Лариса Морозова</cp:lastModifiedBy>
  <cp:revision>4</cp:revision>
  <dcterms:created xsi:type="dcterms:W3CDTF">2018-04-03T08:00:00Z</dcterms:created>
  <dcterms:modified xsi:type="dcterms:W3CDTF">2018-04-03T08:04:00Z</dcterms:modified>
</cp:coreProperties>
</file>