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Default="005A0812" w:rsidP="005A081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A0812">
        <w:rPr>
          <w:rFonts w:ascii="Times New Roman" w:hAnsi="Times New Roman" w:cs="Times New Roman"/>
          <w:b/>
          <w:sz w:val="28"/>
        </w:rPr>
        <w:t>Конституционный Суд Российской Федерации разрешил суд присяжных над несовершеннолетними.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0812">
        <w:rPr>
          <w:rFonts w:ascii="Times New Roman" w:hAnsi="Times New Roman" w:cs="Times New Roman"/>
          <w:sz w:val="28"/>
        </w:rPr>
        <w:t xml:space="preserve">Конституционный Суд РФ своим постановлением от 22.05.2019   № 20-П «По делу о проверке конституционности пункта 2.1 части 2 статьи 30 Уголовно-процессуального кодекса Российской Федерации в связи с запросом Ленинградского областного суда» допустил суд присяжных по ходатайству совершеннолетнего обвиняемого, у которого есть несовершеннолетние соучастники. Спорная норма уголовно-процессуального кодекса Российской Федерации не противоречит Конституции Российской Федерации. 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A0812">
        <w:rPr>
          <w:rFonts w:ascii="Times New Roman" w:hAnsi="Times New Roman" w:cs="Times New Roman"/>
          <w:sz w:val="28"/>
        </w:rPr>
        <w:t xml:space="preserve">Право обвиняемого на рассмотрение его дела судом с участием присяжных заседателей не относится к числу основных прав, неотчуждаемых и принадлежащих каждому от рождения. </w:t>
      </w:r>
      <w:proofErr w:type="gramStart"/>
      <w:r w:rsidRPr="005A0812">
        <w:rPr>
          <w:rFonts w:ascii="Times New Roman" w:hAnsi="Times New Roman" w:cs="Times New Roman"/>
          <w:sz w:val="28"/>
        </w:rPr>
        <w:t>По смыслу приведенных конституционных положений, данное право - в отличие от права на независимый и беспристрастный суд или презумпции невиновности - не входит в основное содержание (ядро) конституционного права на судебную защиту, не подлежащего изменению иначе как в порядке, установленном Конституцией Российской Федерации (статья 64) Конституции Российской Федерации), а выступает в качестве одной из его процессуальных гарантий, предоставляемых на основе дискреционных полномочий</w:t>
      </w:r>
      <w:proofErr w:type="gramEnd"/>
      <w:r w:rsidRPr="005A0812">
        <w:rPr>
          <w:rFonts w:ascii="Times New Roman" w:hAnsi="Times New Roman" w:cs="Times New Roman"/>
          <w:sz w:val="28"/>
        </w:rPr>
        <w:t xml:space="preserve"> федерального законодателя в соответствии со статьями 71 (пункты "в", «г», "о"), 118 (часть 3) и 128 (часть 3)  Конституции Российской Федерации. Как следует из этих статей, определение категорий уголовных дел, подсудных суду с участием присяжных заседателей, а равно изменение его ранее установленной подсудности относятся к ведению федерального законодателя и не могут расцениваться в качестве ограничения права на судебную защиту (Постановление Конституционного Суда Российской Федерации от 19.04.2010 № 8-П). 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A0812">
        <w:rPr>
          <w:rFonts w:ascii="Times New Roman" w:hAnsi="Times New Roman" w:cs="Times New Roman"/>
          <w:sz w:val="28"/>
        </w:rPr>
        <w:t xml:space="preserve">Как пояснил суд, выделить дело в отношении несовершеннолетних в отдельное производство невозможно. При этом среди вмененных подсудимым преступлений дела подсудны присяжным заседателям. 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A0812">
        <w:rPr>
          <w:rFonts w:ascii="Times New Roman" w:hAnsi="Times New Roman" w:cs="Times New Roman"/>
          <w:sz w:val="28"/>
        </w:rPr>
        <w:t>Возможность рассмотрения судом с участием присяжных заседателей уголовного дела по обвинению в совместном совершении преступления лица, достигшего к моменту его совершения совершеннолетия, и несовершеннолетних лиц в случае, если суд придет к выводу о невозможности выделения уголовного дела в отношении несовершеннолетних в отдельное производство ввиду того, что это будет препятствовать всесторонности и объективности разрешения дела, выделенного в отдельное производство, и дела</w:t>
      </w:r>
      <w:proofErr w:type="gramEnd"/>
      <w:r w:rsidRPr="005A0812">
        <w:rPr>
          <w:rFonts w:ascii="Times New Roman" w:hAnsi="Times New Roman" w:cs="Times New Roman"/>
          <w:sz w:val="28"/>
        </w:rPr>
        <w:t>, рассматриваемого судом с участием присяжных заседателей, и при условии отсутствия среди вмененных подсудимым тех преступлений, дела о которых выведены из предметной подсудности суда с участием присяжных заседателей.</w:t>
      </w:r>
    </w:p>
    <w:p w:rsidR="005A0812" w:rsidRPr="00945F51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юрист 1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945F5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О.А. Козлова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5A081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5239D"/>
    <w:rsid w:val="004969E6"/>
    <w:rsid w:val="005A0812"/>
    <w:rsid w:val="00775BEB"/>
    <w:rsid w:val="00786DD1"/>
    <w:rsid w:val="008321A6"/>
    <w:rsid w:val="00872392"/>
    <w:rsid w:val="00945F51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</cp:revision>
  <dcterms:created xsi:type="dcterms:W3CDTF">2019-06-25T06:01:00Z</dcterms:created>
  <dcterms:modified xsi:type="dcterms:W3CDTF">2019-06-25T06:35:00Z</dcterms:modified>
</cp:coreProperties>
</file>