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A12E63" w:rsidP="00181BFF">
            <w:pPr>
              <w:jc w:val="center"/>
              <w:rPr>
                <w:sz w:val="20"/>
              </w:rPr>
            </w:pPr>
            <w:r>
              <w:rPr>
                <w:sz w:val="20"/>
              </w:rPr>
              <w:t>октябрь</w:t>
            </w:r>
          </w:p>
          <w:p w:rsidR="0040602A" w:rsidRPr="00DF40CA" w:rsidRDefault="00A12E63" w:rsidP="00181BFF">
            <w:pPr>
              <w:jc w:val="center"/>
              <w:rPr>
                <w:sz w:val="20"/>
              </w:rPr>
            </w:pPr>
            <w:r>
              <w:rPr>
                <w:sz w:val="20"/>
              </w:rPr>
              <w:t>08</w:t>
            </w:r>
          </w:p>
          <w:p w:rsidR="0040602A" w:rsidRPr="00DF40CA" w:rsidRDefault="006B5D41" w:rsidP="00DB5924">
            <w:pPr>
              <w:jc w:val="center"/>
              <w:rPr>
                <w:sz w:val="20"/>
              </w:rPr>
            </w:pPr>
            <w:r>
              <w:rPr>
                <w:sz w:val="20"/>
              </w:rPr>
              <w:t>среда</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A12E63">
              <w:rPr>
                <w:b/>
                <w:sz w:val="20"/>
              </w:rPr>
              <w:t>20</w:t>
            </w:r>
            <w:r w:rsidR="00EB2B35" w:rsidRPr="00DF40CA">
              <w:rPr>
                <w:b/>
                <w:sz w:val="20"/>
              </w:rPr>
              <w:t xml:space="preserve"> </w:t>
            </w:r>
            <w:r w:rsidRPr="00DF40CA">
              <w:rPr>
                <w:b/>
                <w:sz w:val="20"/>
              </w:rPr>
              <w:t>(</w:t>
            </w:r>
            <w:r w:rsidR="00A12E63">
              <w:rPr>
                <w:b/>
                <w:sz w:val="20"/>
              </w:rPr>
              <w:t>161</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E95EC3" w:rsidRPr="00E95EC3" w:rsidRDefault="00613FB2" w:rsidP="00631657">
      <w:pPr>
        <w:pStyle w:val="1"/>
        <w:jc w:val="left"/>
        <w:rPr>
          <w:sz w:val="24"/>
        </w:rPr>
      </w:pPr>
      <w:r>
        <w:rPr>
          <w:b/>
          <w:sz w:val="24"/>
        </w:rPr>
        <w:t xml:space="preserve">          </w:t>
      </w:r>
    </w:p>
    <w:p w:rsidR="00631657" w:rsidRPr="00631657" w:rsidRDefault="00631657" w:rsidP="00631657">
      <w:pPr>
        <w:rPr>
          <w:b/>
          <w:sz w:val="20"/>
        </w:rPr>
      </w:pPr>
      <w:r w:rsidRPr="00631657">
        <w:rPr>
          <w:b/>
          <w:sz w:val="20"/>
        </w:rPr>
        <w:t>1.О частичной замене дотации на выравнивание бюджетной обеспеченности Богатыревского сельского поселения Цивильского района Чувашской Республики дополнительным нормативом отчислений от налога на доходы физических лиц</w:t>
      </w:r>
    </w:p>
    <w:p w:rsidR="00631657" w:rsidRDefault="00631657" w:rsidP="00631657">
      <w:pPr>
        <w:pStyle w:val="a8"/>
        <w:ind w:hanging="567"/>
      </w:pPr>
      <w:r w:rsidRPr="005238EC">
        <w:rPr>
          <w:noProof/>
          <w:color w:val="000000"/>
        </w:rPr>
        <w:t xml:space="preserve">       </w:t>
      </w:r>
    </w:p>
    <w:p w:rsidR="00631657" w:rsidRPr="00631657" w:rsidRDefault="00631657" w:rsidP="00631657">
      <w:pPr>
        <w:pStyle w:val="a8"/>
        <w:tabs>
          <w:tab w:val="left" w:pos="0"/>
        </w:tabs>
        <w:jc w:val="left"/>
        <w:rPr>
          <w:b/>
          <w:sz w:val="20"/>
          <w:szCs w:val="20"/>
        </w:rPr>
      </w:pPr>
      <w:r w:rsidRPr="00631657">
        <w:rPr>
          <w:b/>
          <w:sz w:val="20"/>
          <w:szCs w:val="20"/>
        </w:rPr>
        <w:t xml:space="preserve">2.Об утверждении отчета «Об исполнении бюджета Богатыревского сельского поселения Цивильского района Чувашской Республики за 9 месяцев 2019 года» </w:t>
      </w:r>
    </w:p>
    <w:p w:rsidR="00631657" w:rsidRPr="00631657" w:rsidRDefault="00631657" w:rsidP="00631657">
      <w:pPr>
        <w:rPr>
          <w:sz w:val="24"/>
          <w:szCs w:val="24"/>
        </w:rPr>
      </w:pPr>
    </w:p>
    <w:p w:rsidR="00E95EC3" w:rsidRPr="00E95EC3" w:rsidRDefault="00E95EC3" w:rsidP="00E95EC3">
      <w:pPr>
        <w:ind w:firstLine="709"/>
        <w:rPr>
          <w:sz w:val="24"/>
          <w:szCs w:val="24"/>
        </w:rPr>
      </w:pPr>
    </w:p>
    <w:p w:rsidR="00A20F9E" w:rsidRPr="00631657" w:rsidRDefault="00A20F9E" w:rsidP="00631657">
      <w:pPr>
        <w:rPr>
          <w:b/>
          <w:sz w:val="24"/>
          <w:szCs w:val="24"/>
        </w:rPr>
      </w:pPr>
    </w:p>
    <w:p w:rsidR="00631657" w:rsidRPr="00631657" w:rsidRDefault="00631657" w:rsidP="00631657">
      <w:pPr>
        <w:rPr>
          <w:b/>
          <w:sz w:val="24"/>
          <w:szCs w:val="24"/>
        </w:rPr>
      </w:pPr>
      <w:r w:rsidRPr="00631657">
        <w:rPr>
          <w:b/>
          <w:sz w:val="24"/>
          <w:szCs w:val="24"/>
        </w:rPr>
        <w:t>1.О частичной замене дотации на выравнивание бюджетной обеспеченности Богатыревского сельского поселения Цивильского района Чувашской Республики дополнительным нормативом отчислений от налога на доходы физических лиц</w:t>
      </w:r>
    </w:p>
    <w:p w:rsidR="00631657" w:rsidRPr="00631657" w:rsidRDefault="00631657" w:rsidP="00631657">
      <w:pPr>
        <w:rPr>
          <w:b/>
          <w:sz w:val="24"/>
          <w:szCs w:val="24"/>
        </w:rPr>
      </w:pPr>
    </w:p>
    <w:p w:rsidR="00631657" w:rsidRPr="00631657" w:rsidRDefault="00631657" w:rsidP="00631657">
      <w:pPr>
        <w:rPr>
          <w:sz w:val="24"/>
          <w:szCs w:val="24"/>
        </w:rPr>
      </w:pPr>
    </w:p>
    <w:p w:rsidR="00631657" w:rsidRPr="00631657" w:rsidRDefault="00631657" w:rsidP="00631657">
      <w:pPr>
        <w:ind w:firstLine="851"/>
        <w:rPr>
          <w:sz w:val="24"/>
          <w:szCs w:val="24"/>
        </w:rPr>
      </w:pPr>
    </w:p>
    <w:p w:rsidR="00631657" w:rsidRPr="00631657" w:rsidRDefault="00631657" w:rsidP="00631657">
      <w:pPr>
        <w:tabs>
          <w:tab w:val="left" w:pos="-426"/>
        </w:tabs>
        <w:ind w:right="-1"/>
        <w:rPr>
          <w:sz w:val="24"/>
          <w:szCs w:val="24"/>
        </w:rPr>
      </w:pPr>
      <w:r w:rsidRPr="00631657">
        <w:rPr>
          <w:sz w:val="24"/>
          <w:szCs w:val="24"/>
        </w:rPr>
        <w:tab/>
        <w:t>В соответствии с пунктом 4 статьи 137 Бюджетного кодекса Российской Федерации,  пунктом 12 статьи 17.3 Закона Чувашской Республики от 23.07.2001 № 36 «О регулировании бюджетных правоотношений в Чувашской Республике» Собрание депутатов</w:t>
      </w:r>
      <w:r w:rsidRPr="00631657">
        <w:rPr>
          <w:b/>
          <w:sz w:val="24"/>
          <w:szCs w:val="24"/>
        </w:rPr>
        <w:t xml:space="preserve">  </w:t>
      </w:r>
      <w:r w:rsidRPr="00631657">
        <w:rPr>
          <w:sz w:val="24"/>
          <w:szCs w:val="24"/>
        </w:rPr>
        <w:t>Богатыревского сельского поселения Цивильского района Чувашской Республики решило:</w:t>
      </w:r>
    </w:p>
    <w:p w:rsidR="00631657" w:rsidRPr="00631657" w:rsidRDefault="00631657" w:rsidP="00631657">
      <w:pPr>
        <w:tabs>
          <w:tab w:val="left" w:pos="5387"/>
        </w:tabs>
        <w:ind w:right="-1"/>
        <w:rPr>
          <w:i/>
          <w:sz w:val="24"/>
          <w:szCs w:val="24"/>
        </w:rPr>
      </w:pPr>
      <w:r w:rsidRPr="00631657">
        <w:rPr>
          <w:i/>
          <w:sz w:val="24"/>
          <w:szCs w:val="24"/>
        </w:rPr>
        <w:t xml:space="preserve">                             </w:t>
      </w:r>
    </w:p>
    <w:p w:rsidR="00631657" w:rsidRPr="00631657" w:rsidRDefault="00631657" w:rsidP="00631657">
      <w:pPr>
        <w:tabs>
          <w:tab w:val="left" w:pos="-142"/>
        </w:tabs>
        <w:ind w:right="-1"/>
        <w:rPr>
          <w:sz w:val="24"/>
          <w:szCs w:val="24"/>
          <w:lang w:eastAsia="en-US"/>
        </w:rPr>
      </w:pPr>
      <w:r w:rsidRPr="00631657">
        <w:rPr>
          <w:i/>
          <w:sz w:val="24"/>
          <w:szCs w:val="24"/>
        </w:rPr>
        <w:tab/>
      </w:r>
      <w:r w:rsidRPr="00631657">
        <w:rPr>
          <w:sz w:val="24"/>
          <w:szCs w:val="24"/>
        </w:rPr>
        <w:t xml:space="preserve">1. </w:t>
      </w:r>
      <w:proofErr w:type="gramStart"/>
      <w:r w:rsidRPr="00631657">
        <w:rPr>
          <w:sz w:val="24"/>
          <w:szCs w:val="24"/>
        </w:rPr>
        <w:t>Д</w:t>
      </w:r>
      <w:r w:rsidRPr="00631657">
        <w:rPr>
          <w:sz w:val="24"/>
          <w:szCs w:val="24"/>
          <w:lang w:eastAsia="en-US"/>
        </w:rPr>
        <w:t>ать согласие на частичную замену дотации на выравнивание бюджетной обеспеченности для бюджета  Богатыревского сельского поселения Цивильского района Чувашской Республики, планируемой к утверждению в республиканском бюджете Чувашской Республики на 2020 год и на плановый период 2021 и 2022 годов, дополнительным нормативом отчислений от налога на доходы физических лиц в бюджет Богатыревского сельского поселения Цивильского района Чувашской Республики от объема поступлений, подлежащего</w:t>
      </w:r>
      <w:proofErr w:type="gramEnd"/>
      <w:r w:rsidRPr="00631657">
        <w:rPr>
          <w:sz w:val="24"/>
          <w:szCs w:val="24"/>
          <w:lang w:eastAsia="en-US"/>
        </w:rPr>
        <w:t xml:space="preserve"> зачислению в консолидированный бюджет Чувашской Республики от указанного налога.</w:t>
      </w:r>
    </w:p>
    <w:p w:rsidR="00631657" w:rsidRPr="00631657" w:rsidRDefault="00631657" w:rsidP="00631657">
      <w:pPr>
        <w:pStyle w:val="af3"/>
        <w:ind w:left="0" w:firstLine="708"/>
        <w:jc w:val="both"/>
      </w:pPr>
      <w:r w:rsidRPr="00631657">
        <w:t>2. Настоящее решение вступает в силу со дня его официального опубликования «Вестник Богатыревского сельского поселения».</w:t>
      </w:r>
    </w:p>
    <w:p w:rsidR="00631657" w:rsidRPr="00631657" w:rsidRDefault="00631657" w:rsidP="00631657">
      <w:pPr>
        <w:tabs>
          <w:tab w:val="left" w:pos="-142"/>
        </w:tabs>
        <w:ind w:right="-1"/>
        <w:rPr>
          <w:sz w:val="24"/>
          <w:szCs w:val="24"/>
        </w:rPr>
      </w:pPr>
      <w:r w:rsidRPr="00631657">
        <w:rPr>
          <w:sz w:val="24"/>
          <w:szCs w:val="24"/>
        </w:rPr>
        <w:tab/>
        <w:t xml:space="preserve"> </w:t>
      </w:r>
    </w:p>
    <w:p w:rsidR="00631657" w:rsidRPr="00631657" w:rsidRDefault="00631657" w:rsidP="00631657">
      <w:pPr>
        <w:pStyle w:val="af3"/>
      </w:pPr>
      <w:r w:rsidRPr="00631657">
        <w:t xml:space="preserve">Председатель Собрания депутатов </w:t>
      </w:r>
    </w:p>
    <w:p w:rsidR="00631657" w:rsidRPr="00631657" w:rsidRDefault="00631657" w:rsidP="00631657">
      <w:pPr>
        <w:pStyle w:val="af3"/>
      </w:pPr>
      <w:r w:rsidRPr="00631657">
        <w:t>Богатыревского сельского поселения</w:t>
      </w:r>
    </w:p>
    <w:p w:rsidR="00631657" w:rsidRPr="00631657" w:rsidRDefault="00631657" w:rsidP="00631657">
      <w:pPr>
        <w:pStyle w:val="af3"/>
      </w:pPr>
      <w:r w:rsidRPr="00631657">
        <w:t>Цивильского района Чувашской Республики                                   А.А.Ксенофонтова</w:t>
      </w:r>
    </w:p>
    <w:p w:rsidR="00631657" w:rsidRPr="00631657" w:rsidRDefault="00631657" w:rsidP="00631657">
      <w:pPr>
        <w:pStyle w:val="ac"/>
        <w:tabs>
          <w:tab w:val="left" w:pos="4429"/>
          <w:tab w:val="left" w:pos="5605"/>
        </w:tabs>
        <w:spacing w:line="192" w:lineRule="auto"/>
        <w:ind w:left="-72"/>
        <w:rPr>
          <w:rFonts w:ascii="Times New Roman" w:hAnsi="Times New Roman" w:cs="Times New Roman"/>
          <w:sz w:val="24"/>
          <w:szCs w:val="24"/>
        </w:rPr>
      </w:pPr>
    </w:p>
    <w:p w:rsidR="009A7863" w:rsidRPr="00631657" w:rsidRDefault="009A7863" w:rsidP="009A7863">
      <w:pPr>
        <w:rPr>
          <w:bCs/>
          <w:color w:val="000000"/>
          <w:sz w:val="24"/>
          <w:szCs w:val="24"/>
        </w:rPr>
      </w:pPr>
    </w:p>
    <w:p w:rsidR="009A7863" w:rsidRPr="00E95EC3" w:rsidRDefault="009A7863" w:rsidP="009A7863">
      <w:pPr>
        <w:rPr>
          <w:bCs/>
          <w:color w:val="000000"/>
          <w:sz w:val="24"/>
          <w:szCs w:val="24"/>
        </w:rPr>
      </w:pPr>
    </w:p>
    <w:p w:rsidR="00913B3B" w:rsidRDefault="00913B3B" w:rsidP="00631657">
      <w:pPr>
        <w:pStyle w:val="a8"/>
        <w:ind w:hanging="567"/>
        <w:rPr>
          <w:b/>
          <w:noProof/>
          <w:color w:val="000000"/>
        </w:rPr>
      </w:pPr>
    </w:p>
    <w:p w:rsidR="00913B3B" w:rsidRDefault="00913B3B" w:rsidP="00631657">
      <w:pPr>
        <w:pStyle w:val="a8"/>
        <w:ind w:hanging="567"/>
        <w:rPr>
          <w:b/>
          <w:noProof/>
          <w:color w:val="000000"/>
        </w:rPr>
      </w:pPr>
    </w:p>
    <w:p w:rsidR="00913B3B" w:rsidRDefault="00913B3B" w:rsidP="00631657">
      <w:pPr>
        <w:pStyle w:val="a8"/>
        <w:ind w:hanging="567"/>
        <w:rPr>
          <w:b/>
          <w:noProof/>
          <w:color w:val="000000"/>
        </w:rPr>
      </w:pPr>
    </w:p>
    <w:p w:rsidR="00913B3B" w:rsidRDefault="00913B3B" w:rsidP="00631657">
      <w:pPr>
        <w:pStyle w:val="a8"/>
        <w:ind w:hanging="567"/>
        <w:rPr>
          <w:b/>
          <w:noProof/>
          <w:color w:val="000000"/>
        </w:rPr>
      </w:pPr>
    </w:p>
    <w:p w:rsidR="00631657" w:rsidRPr="00631657" w:rsidRDefault="00631657" w:rsidP="00631657">
      <w:pPr>
        <w:pStyle w:val="a8"/>
        <w:ind w:hanging="567"/>
        <w:rPr>
          <w:b/>
        </w:rPr>
      </w:pPr>
      <w:r w:rsidRPr="00631657">
        <w:rPr>
          <w:b/>
          <w:noProof/>
          <w:color w:val="000000"/>
        </w:rPr>
        <w:t xml:space="preserve">       </w:t>
      </w:r>
    </w:p>
    <w:p w:rsidR="00631657" w:rsidRPr="00631657" w:rsidRDefault="00631657" w:rsidP="00631657">
      <w:pPr>
        <w:pStyle w:val="a8"/>
        <w:tabs>
          <w:tab w:val="left" w:pos="0"/>
        </w:tabs>
        <w:rPr>
          <w:b/>
        </w:rPr>
      </w:pPr>
      <w:r w:rsidRPr="00631657">
        <w:rPr>
          <w:b/>
        </w:rPr>
        <w:t xml:space="preserve">2.Об утверждении отчета «Об исполнении бюджета Богатыревского сельского поселения Цивильского района Чувашской Республики за 9 месяцев 2019 года» </w:t>
      </w:r>
    </w:p>
    <w:p w:rsidR="00631657" w:rsidRDefault="00631657" w:rsidP="00631657">
      <w:pPr>
        <w:pStyle w:val="a8"/>
        <w:tabs>
          <w:tab w:val="left" w:pos="0"/>
        </w:tabs>
      </w:pPr>
    </w:p>
    <w:p w:rsidR="00631657" w:rsidRDefault="00631657" w:rsidP="00631657">
      <w:pPr>
        <w:pStyle w:val="a8"/>
      </w:pPr>
    </w:p>
    <w:p w:rsidR="00631657" w:rsidRDefault="00631657" w:rsidP="00631657">
      <w:pPr>
        <w:pStyle w:val="a8"/>
        <w:ind w:firstLine="567"/>
        <w:rPr>
          <w:b/>
          <w:bCs/>
        </w:rPr>
      </w:pPr>
      <w:r>
        <w:t xml:space="preserve">Руководствуясь со ст.71 Положения о бюджетном процессе в  </w:t>
      </w:r>
      <w:proofErr w:type="spellStart"/>
      <w:r>
        <w:t>Богатыревском</w:t>
      </w:r>
      <w:proofErr w:type="spellEnd"/>
      <w:r>
        <w:t xml:space="preserve"> сельском поселении  Цивильского района,  </w:t>
      </w:r>
      <w:proofErr w:type="gramStart"/>
      <w:r>
        <w:t>утвержденный</w:t>
      </w:r>
      <w:proofErr w:type="gramEnd"/>
      <w:r>
        <w:t xml:space="preserve"> решением Собрания депутатов Богатыревского сельского поселения Цивильского района № 2 от 20 апреля 2008 года </w:t>
      </w:r>
    </w:p>
    <w:p w:rsidR="00631657" w:rsidRDefault="00631657" w:rsidP="00631657">
      <w:pPr>
        <w:pStyle w:val="a8"/>
        <w:ind w:firstLine="567"/>
        <w:rPr>
          <w:b/>
          <w:bCs/>
        </w:rPr>
      </w:pPr>
    </w:p>
    <w:p w:rsidR="00631657" w:rsidRDefault="00631657" w:rsidP="00631657">
      <w:pPr>
        <w:pStyle w:val="a8"/>
        <w:ind w:firstLine="567"/>
      </w:pPr>
      <w:proofErr w:type="gramStart"/>
      <w:r>
        <w:t>П</w:t>
      </w:r>
      <w:proofErr w:type="gramEnd"/>
      <w:r>
        <w:t xml:space="preserve"> О С Т А Н О В Л Я Ю:</w:t>
      </w:r>
    </w:p>
    <w:p w:rsidR="00631657" w:rsidRDefault="00631657" w:rsidP="00631657">
      <w:pPr>
        <w:pStyle w:val="a8"/>
        <w:tabs>
          <w:tab w:val="left" w:pos="142"/>
        </w:tabs>
        <w:ind w:firstLine="567"/>
        <w:rPr>
          <w:b/>
          <w:bCs/>
        </w:rPr>
      </w:pPr>
    </w:p>
    <w:p w:rsidR="00631657" w:rsidRDefault="00631657" w:rsidP="00631657">
      <w:pPr>
        <w:pStyle w:val="a8"/>
        <w:tabs>
          <w:tab w:val="left" w:pos="142"/>
        </w:tabs>
        <w:ind w:firstLine="567"/>
        <w:rPr>
          <w:b/>
          <w:bCs/>
        </w:rPr>
      </w:pPr>
      <w:r>
        <w:t>1.Утвердить отчет «Об исполнении бюджета Богатыревского сельского поселения Цивильского района за 9 месяцев 2019 года» по доходам в сумме 7371,0 тыс. рублей, по расходам в сумме 7852,9 тыс. рублей, дефицит бюджета в сумме 481,9 тыс. рублей.</w:t>
      </w:r>
    </w:p>
    <w:p w:rsidR="00631657" w:rsidRDefault="00631657" w:rsidP="00631657">
      <w:pPr>
        <w:pStyle w:val="a8"/>
        <w:tabs>
          <w:tab w:val="left" w:pos="142"/>
        </w:tabs>
        <w:ind w:firstLine="567"/>
        <w:rPr>
          <w:b/>
          <w:bCs/>
        </w:rPr>
      </w:pPr>
    </w:p>
    <w:p w:rsidR="00631657" w:rsidRDefault="00631657" w:rsidP="00631657">
      <w:pPr>
        <w:pStyle w:val="a8"/>
        <w:tabs>
          <w:tab w:val="left" w:pos="142"/>
        </w:tabs>
        <w:rPr>
          <w:b/>
          <w:bCs/>
        </w:rPr>
      </w:pPr>
      <w:r>
        <w:t xml:space="preserve">        2. Направить отчет «Об исполнении бюджета Богатыревского сельского поселения Цивильского района за 9 месяцев 2019 года» на Собрание депутатов Богатыревского сельского поселения Цивильского района для рассмотрения.</w:t>
      </w:r>
    </w:p>
    <w:p w:rsidR="00631657" w:rsidRDefault="00631657" w:rsidP="00631657">
      <w:pPr>
        <w:pStyle w:val="a8"/>
        <w:tabs>
          <w:tab w:val="left" w:pos="142"/>
        </w:tabs>
        <w:rPr>
          <w:b/>
          <w:bCs/>
        </w:rPr>
      </w:pPr>
    </w:p>
    <w:p w:rsidR="00631657" w:rsidRDefault="00631657" w:rsidP="00631657">
      <w:pPr>
        <w:pStyle w:val="a8"/>
        <w:tabs>
          <w:tab w:val="left" w:pos="142"/>
        </w:tabs>
        <w:ind w:firstLine="567"/>
        <w:rPr>
          <w:b/>
          <w:bCs/>
        </w:rPr>
      </w:pPr>
      <w:r>
        <w:t>3.Настоящее постановление вступает в силу по истечении 7 дней после его официального опубликования  «Вестник Богатыревского сельского поселения».</w:t>
      </w:r>
    </w:p>
    <w:p w:rsidR="00631657" w:rsidRDefault="00631657" w:rsidP="00631657">
      <w:pPr>
        <w:pStyle w:val="a8"/>
        <w:ind w:firstLine="851"/>
        <w:rPr>
          <w:b/>
          <w:bCs/>
        </w:rPr>
      </w:pPr>
    </w:p>
    <w:p w:rsidR="00631657" w:rsidRDefault="00631657" w:rsidP="00631657">
      <w:pPr>
        <w:pStyle w:val="a8"/>
        <w:ind w:firstLine="851"/>
        <w:rPr>
          <w:b/>
          <w:bCs/>
        </w:rPr>
      </w:pPr>
    </w:p>
    <w:p w:rsidR="00631657" w:rsidRDefault="00631657" w:rsidP="00631657">
      <w:pPr>
        <w:pStyle w:val="a8"/>
        <w:ind w:firstLine="851"/>
        <w:rPr>
          <w:b/>
          <w:bCs/>
        </w:rPr>
      </w:pPr>
    </w:p>
    <w:p w:rsidR="00631657" w:rsidRPr="005238EC" w:rsidRDefault="00631657" w:rsidP="00631657">
      <w:pPr>
        <w:pStyle w:val="ac"/>
        <w:rPr>
          <w:rFonts w:ascii="Times New Roman" w:hAnsi="Times New Roman" w:cs="Times New Roman"/>
          <w:noProof/>
          <w:color w:val="000000"/>
          <w:sz w:val="24"/>
          <w:szCs w:val="24"/>
        </w:rPr>
      </w:pPr>
    </w:p>
    <w:p w:rsidR="00631657" w:rsidRPr="005238EC" w:rsidRDefault="00631657" w:rsidP="00631657">
      <w:pPr>
        <w:outlineLvl w:val="0"/>
        <w:rPr>
          <w:sz w:val="24"/>
          <w:szCs w:val="24"/>
        </w:rPr>
      </w:pPr>
      <w:r w:rsidRPr="005238EC">
        <w:rPr>
          <w:sz w:val="24"/>
          <w:szCs w:val="24"/>
        </w:rPr>
        <w:t xml:space="preserve">    Глава администрации Богатыревского</w:t>
      </w:r>
    </w:p>
    <w:p w:rsidR="00913B3B" w:rsidRDefault="00631657" w:rsidP="00631657">
      <w:pPr>
        <w:outlineLvl w:val="0"/>
        <w:rPr>
          <w:sz w:val="24"/>
          <w:szCs w:val="24"/>
        </w:rPr>
      </w:pPr>
      <w:r w:rsidRPr="005238EC">
        <w:rPr>
          <w:sz w:val="24"/>
          <w:szCs w:val="24"/>
        </w:rPr>
        <w:t xml:space="preserve">    сельского поселения                                                           А.В.Лаврентьев</w:t>
      </w:r>
    </w:p>
    <w:p w:rsidR="00913B3B" w:rsidRDefault="00913B3B" w:rsidP="00631657">
      <w:pPr>
        <w:outlineLvl w:val="0"/>
        <w:rPr>
          <w:sz w:val="24"/>
          <w:szCs w:val="24"/>
        </w:rPr>
      </w:pPr>
    </w:p>
    <w:p w:rsidR="00913B3B" w:rsidRDefault="00913B3B" w:rsidP="00631657">
      <w:pPr>
        <w:outlineLvl w:val="0"/>
        <w:rPr>
          <w:sz w:val="24"/>
          <w:szCs w:val="24"/>
        </w:rPr>
      </w:pPr>
    </w:p>
    <w:p w:rsidR="00913B3B" w:rsidRDefault="00913B3B" w:rsidP="00631657">
      <w:pPr>
        <w:outlineLvl w:val="0"/>
        <w:rPr>
          <w:sz w:val="24"/>
          <w:szCs w:val="24"/>
        </w:rPr>
      </w:pPr>
    </w:p>
    <w:p w:rsidR="00913B3B" w:rsidRDefault="00913B3B" w:rsidP="00631657">
      <w:pPr>
        <w:outlineLvl w:val="0"/>
        <w:rPr>
          <w:sz w:val="24"/>
          <w:szCs w:val="24"/>
        </w:rPr>
      </w:pPr>
    </w:p>
    <w:p w:rsidR="00631657" w:rsidRPr="005238EC" w:rsidRDefault="00631657" w:rsidP="00913B3B">
      <w:pPr>
        <w:ind w:right="-709"/>
        <w:outlineLvl w:val="0"/>
        <w:rPr>
          <w:sz w:val="24"/>
          <w:szCs w:val="24"/>
        </w:rPr>
      </w:pPr>
      <w:r w:rsidRPr="005238EC">
        <w:rPr>
          <w:sz w:val="24"/>
          <w:szCs w:val="24"/>
        </w:rPr>
        <w:t xml:space="preserve">    </w:t>
      </w:r>
    </w:p>
    <w:p w:rsidR="00631657" w:rsidRDefault="00631657" w:rsidP="00631657"/>
    <w:tbl>
      <w:tblPr>
        <w:tblW w:w="11048" w:type="dxa"/>
        <w:tblInd w:w="93" w:type="dxa"/>
        <w:tblLayout w:type="fixed"/>
        <w:tblLook w:val="04A0"/>
      </w:tblPr>
      <w:tblGrid>
        <w:gridCol w:w="2989"/>
        <w:gridCol w:w="3263"/>
        <w:gridCol w:w="709"/>
        <w:gridCol w:w="992"/>
        <w:gridCol w:w="851"/>
        <w:gridCol w:w="1559"/>
        <w:gridCol w:w="425"/>
        <w:gridCol w:w="260"/>
      </w:tblGrid>
      <w:tr w:rsidR="00913B3B" w:rsidRPr="00827E33" w:rsidTr="003E5233">
        <w:trPr>
          <w:trHeight w:val="263"/>
        </w:trPr>
        <w:tc>
          <w:tcPr>
            <w:tcW w:w="10788" w:type="dxa"/>
            <w:gridSpan w:val="7"/>
            <w:tcBorders>
              <w:top w:val="single" w:sz="8" w:space="0" w:color="auto"/>
              <w:left w:val="nil"/>
              <w:bottom w:val="nil"/>
              <w:right w:val="nil"/>
            </w:tcBorders>
            <w:shd w:val="clear" w:color="auto" w:fill="auto"/>
            <w:hideMark/>
          </w:tcPr>
          <w:p w:rsidR="00913B3B" w:rsidRPr="00827E33" w:rsidRDefault="00913B3B" w:rsidP="003E5233">
            <w:pPr>
              <w:rPr>
                <w:b/>
                <w:bCs/>
                <w:sz w:val="20"/>
              </w:rPr>
            </w:pPr>
            <w:r w:rsidRPr="00827E33">
              <w:rPr>
                <w:b/>
                <w:bCs/>
                <w:sz w:val="20"/>
              </w:rPr>
              <w:t xml:space="preserve">                                            Исполнение бюджета Богатыревского сельского поселения</w:t>
            </w:r>
          </w:p>
        </w:tc>
        <w:tc>
          <w:tcPr>
            <w:tcW w:w="260"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63"/>
        </w:trPr>
        <w:tc>
          <w:tcPr>
            <w:tcW w:w="11048" w:type="dxa"/>
            <w:gridSpan w:val="8"/>
            <w:tcBorders>
              <w:top w:val="nil"/>
              <w:left w:val="nil"/>
              <w:bottom w:val="nil"/>
              <w:right w:val="nil"/>
            </w:tcBorders>
            <w:shd w:val="clear" w:color="auto" w:fill="auto"/>
            <w:hideMark/>
          </w:tcPr>
          <w:p w:rsidR="00913B3B" w:rsidRPr="00827E33" w:rsidRDefault="00913B3B" w:rsidP="003E5233">
            <w:pPr>
              <w:jc w:val="center"/>
              <w:rPr>
                <w:b/>
                <w:bCs/>
                <w:sz w:val="20"/>
              </w:rPr>
            </w:pPr>
            <w:r w:rsidRPr="00827E33">
              <w:rPr>
                <w:b/>
                <w:bCs/>
                <w:sz w:val="20"/>
              </w:rPr>
              <w:t>Цивильского района на 01 октября 2019 года (тыс. рублей)</w:t>
            </w:r>
          </w:p>
        </w:tc>
      </w:tr>
      <w:tr w:rsidR="00913B3B" w:rsidRPr="00827E33" w:rsidTr="003E5233">
        <w:trPr>
          <w:trHeight w:val="455"/>
        </w:trPr>
        <w:tc>
          <w:tcPr>
            <w:tcW w:w="2989" w:type="dxa"/>
            <w:tcBorders>
              <w:top w:val="nil"/>
              <w:left w:val="nil"/>
              <w:bottom w:val="nil"/>
              <w:right w:val="nil"/>
            </w:tcBorders>
            <w:shd w:val="clear" w:color="auto" w:fill="auto"/>
            <w:hideMark/>
          </w:tcPr>
          <w:p w:rsidR="00913B3B" w:rsidRPr="00827E33" w:rsidRDefault="00913B3B" w:rsidP="003E5233">
            <w:pPr>
              <w:jc w:val="center"/>
              <w:rPr>
                <w:b/>
                <w:bCs/>
                <w:sz w:val="20"/>
              </w:rPr>
            </w:pPr>
          </w:p>
        </w:tc>
        <w:tc>
          <w:tcPr>
            <w:tcW w:w="3263" w:type="dxa"/>
            <w:tcBorders>
              <w:top w:val="nil"/>
              <w:left w:val="nil"/>
              <w:bottom w:val="nil"/>
              <w:right w:val="nil"/>
            </w:tcBorders>
            <w:shd w:val="clear" w:color="auto" w:fill="auto"/>
            <w:hideMark/>
          </w:tcPr>
          <w:p w:rsidR="00913B3B" w:rsidRPr="00827E33" w:rsidRDefault="00913B3B" w:rsidP="003E5233">
            <w:pPr>
              <w:jc w:val="center"/>
              <w:rPr>
                <w:b/>
                <w:bCs/>
                <w:sz w:val="20"/>
              </w:rPr>
            </w:pPr>
          </w:p>
        </w:tc>
        <w:tc>
          <w:tcPr>
            <w:tcW w:w="709" w:type="dxa"/>
            <w:tcBorders>
              <w:top w:val="nil"/>
              <w:left w:val="nil"/>
              <w:bottom w:val="nil"/>
              <w:right w:val="nil"/>
            </w:tcBorders>
            <w:shd w:val="clear" w:color="auto" w:fill="auto"/>
            <w:hideMark/>
          </w:tcPr>
          <w:p w:rsidR="00913B3B" w:rsidRPr="00827E33" w:rsidRDefault="00913B3B" w:rsidP="003E5233">
            <w:pPr>
              <w:jc w:val="center"/>
              <w:rPr>
                <w:b/>
                <w:bCs/>
                <w:sz w:val="20"/>
              </w:rPr>
            </w:pPr>
          </w:p>
        </w:tc>
        <w:tc>
          <w:tcPr>
            <w:tcW w:w="992" w:type="dxa"/>
            <w:tcBorders>
              <w:top w:val="nil"/>
              <w:left w:val="nil"/>
              <w:bottom w:val="nil"/>
              <w:right w:val="nil"/>
            </w:tcBorders>
            <w:shd w:val="clear" w:color="auto" w:fill="auto"/>
            <w:hideMark/>
          </w:tcPr>
          <w:p w:rsidR="00913B3B" w:rsidRPr="00827E33" w:rsidRDefault="00913B3B" w:rsidP="003E5233">
            <w:pPr>
              <w:jc w:val="center"/>
              <w:rPr>
                <w:b/>
                <w:bCs/>
                <w:sz w:val="20"/>
              </w:rPr>
            </w:pPr>
          </w:p>
        </w:tc>
        <w:tc>
          <w:tcPr>
            <w:tcW w:w="851" w:type="dxa"/>
            <w:tcBorders>
              <w:top w:val="nil"/>
              <w:left w:val="nil"/>
              <w:bottom w:val="nil"/>
              <w:right w:val="nil"/>
            </w:tcBorders>
            <w:shd w:val="clear" w:color="auto" w:fill="auto"/>
            <w:hideMark/>
          </w:tcPr>
          <w:p w:rsidR="00913B3B" w:rsidRPr="00827E33" w:rsidRDefault="00913B3B" w:rsidP="003E5233">
            <w:pPr>
              <w:jc w:val="center"/>
              <w:rPr>
                <w:b/>
                <w:bCs/>
                <w:sz w:val="20"/>
              </w:rPr>
            </w:pPr>
          </w:p>
        </w:tc>
        <w:tc>
          <w:tcPr>
            <w:tcW w:w="1559" w:type="dxa"/>
            <w:tcBorders>
              <w:top w:val="nil"/>
              <w:left w:val="nil"/>
              <w:bottom w:val="nil"/>
              <w:right w:val="nil"/>
            </w:tcBorders>
            <w:shd w:val="clear" w:color="auto" w:fill="auto"/>
            <w:hideMark/>
          </w:tcPr>
          <w:p w:rsidR="00913B3B" w:rsidRPr="00827E33" w:rsidRDefault="00913B3B" w:rsidP="003E5233">
            <w:pPr>
              <w:jc w:val="center"/>
              <w:rPr>
                <w:b/>
                <w:bCs/>
                <w:sz w:val="20"/>
              </w:rPr>
            </w:pP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3B3B" w:rsidRPr="00827E33" w:rsidRDefault="00913B3B" w:rsidP="003E5233">
            <w:pPr>
              <w:rPr>
                <w:b/>
                <w:bCs/>
                <w:sz w:val="20"/>
              </w:rPr>
            </w:pPr>
            <w:r w:rsidRPr="00827E33">
              <w:rPr>
                <w:b/>
                <w:bCs/>
                <w:sz w:val="20"/>
              </w:rPr>
              <w:t>Коды Бюджетной классификации</w:t>
            </w:r>
          </w:p>
        </w:tc>
        <w:tc>
          <w:tcPr>
            <w:tcW w:w="32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3B3B" w:rsidRPr="00827E33" w:rsidRDefault="00913B3B" w:rsidP="003E5233">
            <w:pPr>
              <w:rPr>
                <w:b/>
                <w:bCs/>
                <w:sz w:val="20"/>
              </w:rPr>
            </w:pPr>
            <w:r w:rsidRPr="00827E33">
              <w:rPr>
                <w:b/>
                <w:bCs/>
                <w:sz w:val="20"/>
              </w:rPr>
              <w:t>Наименование  доходов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Утверждено на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фактическое исполнение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Отклонение от годового   плана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 исполнения</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13B3B" w:rsidRPr="00827E33" w:rsidRDefault="00913B3B" w:rsidP="003E5233">
            <w:pPr>
              <w:rPr>
                <w:b/>
                <w:bCs/>
                <w:sz w:val="20"/>
              </w:rPr>
            </w:pP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1</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2</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3</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4</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5</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6</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b/>
                <w:bCs/>
                <w:sz w:val="20"/>
              </w:rPr>
            </w:pPr>
            <w:r w:rsidRPr="00827E33">
              <w:rPr>
                <w:b/>
                <w:bCs/>
                <w:sz w:val="20"/>
              </w:rPr>
              <w:t> </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ДОХОДЫ</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 </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 </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 </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r w:rsidRPr="00827E33">
              <w:rPr>
                <w:b/>
                <w:bCs/>
                <w:sz w:val="20"/>
              </w:rPr>
              <w:t> </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040"/>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100 1 03 02200 01 0000 110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xml:space="preserve">Доходы от уплаты акцизов на нефтепродукты, подлежащие распределению между бюджетами субъектов </w:t>
            </w:r>
            <w:proofErr w:type="spellStart"/>
            <w:r w:rsidRPr="00827E33">
              <w:rPr>
                <w:sz w:val="20"/>
              </w:rPr>
              <w:t>Российиской</w:t>
            </w:r>
            <w:proofErr w:type="spellEnd"/>
            <w:r w:rsidRPr="00827E33">
              <w:rPr>
                <w:sz w:val="20"/>
              </w:rPr>
              <w:t xml:space="preserve">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366,2</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320,3</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45,9</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87,5</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182 1 01 02000 01 0000 110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Налог на доходы физических лиц</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35,5</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24,9</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10,6</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70,1</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182 1 05 03000 01 0000 110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Единый сельскохозяйственный налог</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0,1</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0,1</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182 1 06 01030 10 0000 110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Налог на имущество физических лиц</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228,0</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135,1</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92,9</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59,3</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182 1 06 06000 10 0000 110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Земельный налог</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698,0</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341,7</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356,3</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49,0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993 1 08 04020 01 0000 110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Государственная пошлина</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8,0</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8,0</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100,0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330"/>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993 1 11 05025 10 0000 120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Арендная плата за земельные участки</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187,4</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128,1</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59,3</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68,4</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1080"/>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993 1 11 05035 10 0000 120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xml:space="preserve">Доходы от сдачи в аренду имущества, находящегося в оперативном управлении органов управлений поселений и созданных ими </w:t>
            </w:r>
            <w:proofErr w:type="spellStart"/>
            <w:r w:rsidRPr="00827E33">
              <w:rPr>
                <w:sz w:val="20"/>
              </w:rPr>
              <w:t>учреждениий</w:t>
            </w:r>
            <w:proofErr w:type="spellEnd"/>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54,3</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43,4</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10,9</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79,9</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589"/>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993 1 13 01995 10 0000 130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Прочие доходы от оказания платных услуг (работ)</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503,6</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439,9</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63,7</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87,4</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600"/>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993 1 13 02065 10 0000 130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Доходы, поступающие в порядке возмещения расходов</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91,7</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20,8</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70,9</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22,7</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518"/>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993 1 13 02995 10 0000 130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Прочие доходы от компенсации затрат</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41,2</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41,2</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00"/>
            <w:hideMark/>
          </w:tcPr>
          <w:p w:rsidR="00913B3B" w:rsidRPr="00827E33" w:rsidRDefault="00913B3B" w:rsidP="003E5233">
            <w:pPr>
              <w:rPr>
                <w:b/>
                <w:bCs/>
                <w:sz w:val="20"/>
              </w:rPr>
            </w:pPr>
            <w:r w:rsidRPr="00827E33">
              <w:rPr>
                <w:b/>
                <w:bCs/>
                <w:sz w:val="20"/>
              </w:rPr>
              <w:t> </w:t>
            </w:r>
          </w:p>
        </w:tc>
        <w:tc>
          <w:tcPr>
            <w:tcW w:w="3263" w:type="dxa"/>
            <w:tcBorders>
              <w:top w:val="nil"/>
              <w:left w:val="nil"/>
              <w:bottom w:val="single" w:sz="4" w:space="0" w:color="auto"/>
              <w:right w:val="single" w:sz="4" w:space="0" w:color="auto"/>
            </w:tcBorders>
            <w:shd w:val="clear" w:color="000000" w:fill="FFFF00"/>
            <w:hideMark/>
          </w:tcPr>
          <w:p w:rsidR="00913B3B" w:rsidRPr="00827E33" w:rsidRDefault="00913B3B" w:rsidP="003E5233">
            <w:pPr>
              <w:rPr>
                <w:b/>
                <w:bCs/>
                <w:sz w:val="20"/>
              </w:rPr>
            </w:pPr>
            <w:r w:rsidRPr="00827E33">
              <w:rPr>
                <w:b/>
                <w:bCs/>
                <w:sz w:val="20"/>
              </w:rPr>
              <w:t>Итого собственных доходов</w:t>
            </w:r>
          </w:p>
        </w:tc>
        <w:tc>
          <w:tcPr>
            <w:tcW w:w="709"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2 214,0</w:t>
            </w:r>
          </w:p>
        </w:tc>
        <w:tc>
          <w:tcPr>
            <w:tcW w:w="992"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1 462,2</w:t>
            </w:r>
          </w:p>
        </w:tc>
        <w:tc>
          <w:tcPr>
            <w:tcW w:w="851"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751,8</w:t>
            </w:r>
          </w:p>
        </w:tc>
        <w:tc>
          <w:tcPr>
            <w:tcW w:w="1559"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66,0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510"/>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993 2 02 15001 10 0000 150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Дотации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2 282,8</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1 712,1</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570,7</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75,0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76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993 2 02 15002 10 0000 150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Дотации на поддержку мер по обеспечению сбалансированности бюджетов</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1 438,4</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1 214,4</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224,0</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84,4</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900"/>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993 2 02 20216 10 0000 150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Субсидии бюджетам поселений на осуществление дорожной деятельности</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899,5</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899,5</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540"/>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993 2 02 29999 10 0000 150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Прочие субсидии бюджетам поселений</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2 846,8</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2 846,8</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100,0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94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993 2 02 30024 10 0000 150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Субвенции бюджетам поселений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0,2</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0,2</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1403"/>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993 2 02 35118 10 0000 150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89,9</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67,4</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22,5</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75,0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578"/>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993 2 02 49999 10 0000 150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xml:space="preserve">Прочие межбюджетные трансферты бюджетам поселений </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4,8</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2,4</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2,4</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50,0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672"/>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993 2 07 05020 10 0000 150</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Поступления от денежных пожертвований, предоставляемых физическими лицами</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65,7</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65,7</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0,0</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right"/>
              <w:rPr>
                <w:sz w:val="20"/>
              </w:rPr>
            </w:pPr>
            <w:r w:rsidRPr="00827E33">
              <w:rPr>
                <w:sz w:val="20"/>
              </w:rPr>
              <w:t>100,0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765"/>
        </w:trPr>
        <w:tc>
          <w:tcPr>
            <w:tcW w:w="2989" w:type="dxa"/>
            <w:tcBorders>
              <w:top w:val="nil"/>
              <w:left w:val="single" w:sz="4" w:space="0" w:color="auto"/>
              <w:bottom w:val="single" w:sz="4" w:space="0" w:color="auto"/>
              <w:right w:val="single" w:sz="4" w:space="0" w:color="auto"/>
            </w:tcBorders>
            <w:shd w:val="clear" w:color="000000" w:fill="FFFF00"/>
            <w:hideMark/>
          </w:tcPr>
          <w:p w:rsidR="00913B3B" w:rsidRPr="00827E33" w:rsidRDefault="00913B3B" w:rsidP="003E5233">
            <w:pPr>
              <w:rPr>
                <w:b/>
                <w:bCs/>
                <w:sz w:val="20"/>
              </w:rPr>
            </w:pPr>
            <w:r w:rsidRPr="00827E33">
              <w:rPr>
                <w:b/>
                <w:bCs/>
                <w:sz w:val="20"/>
              </w:rPr>
              <w:t> </w:t>
            </w:r>
          </w:p>
        </w:tc>
        <w:tc>
          <w:tcPr>
            <w:tcW w:w="3263" w:type="dxa"/>
            <w:tcBorders>
              <w:top w:val="nil"/>
              <w:left w:val="nil"/>
              <w:bottom w:val="single" w:sz="4" w:space="0" w:color="auto"/>
              <w:right w:val="single" w:sz="4" w:space="0" w:color="auto"/>
            </w:tcBorders>
            <w:shd w:val="clear" w:color="000000" w:fill="FFFF00"/>
            <w:hideMark/>
          </w:tcPr>
          <w:p w:rsidR="00913B3B" w:rsidRPr="00827E33" w:rsidRDefault="00913B3B" w:rsidP="003E5233">
            <w:pPr>
              <w:rPr>
                <w:b/>
                <w:bCs/>
                <w:sz w:val="20"/>
              </w:rPr>
            </w:pPr>
            <w:r w:rsidRPr="00827E33">
              <w:rPr>
                <w:b/>
                <w:bCs/>
                <w:sz w:val="20"/>
              </w:rPr>
              <w:t xml:space="preserve">Итого безвозмездные поступления от других бюджетов бюджетной системы РФ </w:t>
            </w:r>
          </w:p>
        </w:tc>
        <w:tc>
          <w:tcPr>
            <w:tcW w:w="709"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7 628,1</w:t>
            </w:r>
          </w:p>
        </w:tc>
        <w:tc>
          <w:tcPr>
            <w:tcW w:w="992"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5 908,8</w:t>
            </w:r>
          </w:p>
        </w:tc>
        <w:tc>
          <w:tcPr>
            <w:tcW w:w="851"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1 719,3</w:t>
            </w:r>
          </w:p>
        </w:tc>
        <w:tc>
          <w:tcPr>
            <w:tcW w:w="1559"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77,5</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b/>
                <w:bCs/>
                <w:sz w:val="20"/>
              </w:rPr>
            </w:pPr>
            <w:r w:rsidRPr="00827E33">
              <w:rPr>
                <w:b/>
                <w:bCs/>
                <w:sz w:val="20"/>
              </w:rPr>
              <w:t> </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rPr>
                <w:b/>
                <w:bCs/>
                <w:sz w:val="20"/>
              </w:rPr>
            </w:pPr>
            <w:r w:rsidRPr="00827E33">
              <w:rPr>
                <w:b/>
                <w:bCs/>
                <w:sz w:val="20"/>
              </w:rPr>
              <w:t> </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00"/>
            <w:hideMark/>
          </w:tcPr>
          <w:p w:rsidR="00913B3B" w:rsidRPr="00827E33" w:rsidRDefault="00913B3B" w:rsidP="003E5233">
            <w:pPr>
              <w:rPr>
                <w:b/>
                <w:bCs/>
                <w:sz w:val="20"/>
              </w:rPr>
            </w:pPr>
            <w:r w:rsidRPr="00827E33">
              <w:rPr>
                <w:b/>
                <w:bCs/>
                <w:sz w:val="20"/>
              </w:rPr>
              <w:t> </w:t>
            </w:r>
          </w:p>
        </w:tc>
        <w:tc>
          <w:tcPr>
            <w:tcW w:w="3263"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center"/>
              <w:rPr>
                <w:b/>
                <w:bCs/>
                <w:sz w:val="20"/>
              </w:rPr>
            </w:pPr>
            <w:r w:rsidRPr="00827E33">
              <w:rPr>
                <w:b/>
                <w:bCs/>
                <w:sz w:val="20"/>
              </w:rPr>
              <w:t xml:space="preserve">В С Е Г О   Д О Х О </w:t>
            </w:r>
            <w:proofErr w:type="gramStart"/>
            <w:r w:rsidRPr="00827E33">
              <w:rPr>
                <w:b/>
                <w:bCs/>
                <w:sz w:val="20"/>
              </w:rPr>
              <w:t>Д</w:t>
            </w:r>
            <w:proofErr w:type="gramEnd"/>
            <w:r w:rsidRPr="00827E33">
              <w:rPr>
                <w:b/>
                <w:bCs/>
                <w:sz w:val="20"/>
              </w:rPr>
              <w:t xml:space="preserve"> О В</w:t>
            </w:r>
          </w:p>
        </w:tc>
        <w:tc>
          <w:tcPr>
            <w:tcW w:w="709"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9 842,1</w:t>
            </w:r>
          </w:p>
        </w:tc>
        <w:tc>
          <w:tcPr>
            <w:tcW w:w="992"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7 371,0</w:t>
            </w:r>
          </w:p>
        </w:tc>
        <w:tc>
          <w:tcPr>
            <w:tcW w:w="851"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2 471,1</w:t>
            </w:r>
          </w:p>
        </w:tc>
        <w:tc>
          <w:tcPr>
            <w:tcW w:w="1559" w:type="dxa"/>
            <w:tcBorders>
              <w:top w:val="nil"/>
              <w:left w:val="nil"/>
              <w:bottom w:val="single" w:sz="4" w:space="0" w:color="auto"/>
              <w:right w:val="single" w:sz="4" w:space="0" w:color="auto"/>
            </w:tcBorders>
            <w:shd w:val="clear" w:color="000000" w:fill="FFFF00"/>
            <w:hideMark/>
          </w:tcPr>
          <w:p w:rsidR="00913B3B" w:rsidRPr="00827E33" w:rsidRDefault="00913B3B" w:rsidP="003E5233">
            <w:pPr>
              <w:jc w:val="right"/>
              <w:rPr>
                <w:b/>
                <w:bCs/>
                <w:sz w:val="20"/>
              </w:rPr>
            </w:pPr>
            <w:r w:rsidRPr="00827E33">
              <w:rPr>
                <w:b/>
                <w:bCs/>
                <w:sz w:val="20"/>
              </w:rPr>
              <w:t>74,9</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auto" w:fill="auto"/>
            <w:hideMark/>
          </w:tcPr>
          <w:p w:rsidR="00913B3B" w:rsidRPr="00827E33" w:rsidRDefault="00913B3B" w:rsidP="003E5233">
            <w:pPr>
              <w:rPr>
                <w:b/>
                <w:bCs/>
                <w:sz w:val="20"/>
              </w:rPr>
            </w:pPr>
            <w:r w:rsidRPr="00827E33">
              <w:rPr>
                <w:b/>
                <w:bCs/>
                <w:sz w:val="20"/>
              </w:rPr>
              <w:t> </w:t>
            </w:r>
          </w:p>
        </w:tc>
        <w:tc>
          <w:tcPr>
            <w:tcW w:w="3263" w:type="dxa"/>
            <w:tcBorders>
              <w:top w:val="nil"/>
              <w:left w:val="nil"/>
              <w:bottom w:val="single" w:sz="4" w:space="0" w:color="auto"/>
              <w:right w:val="single" w:sz="4" w:space="0" w:color="auto"/>
            </w:tcBorders>
            <w:shd w:val="clear" w:color="auto" w:fill="auto"/>
            <w:hideMark/>
          </w:tcPr>
          <w:p w:rsidR="00913B3B" w:rsidRPr="00827E33" w:rsidRDefault="00913B3B" w:rsidP="003E5233">
            <w:pPr>
              <w:jc w:val="center"/>
              <w:rPr>
                <w:b/>
                <w:bCs/>
                <w:sz w:val="20"/>
              </w:rPr>
            </w:pPr>
            <w:proofErr w:type="gramStart"/>
            <w:r w:rsidRPr="00827E33">
              <w:rPr>
                <w:b/>
                <w:bCs/>
                <w:sz w:val="20"/>
              </w:rPr>
              <w:t>Р</w:t>
            </w:r>
            <w:proofErr w:type="gramEnd"/>
            <w:r w:rsidRPr="00827E33">
              <w:rPr>
                <w:b/>
                <w:bCs/>
                <w:sz w:val="20"/>
              </w:rPr>
              <w:t xml:space="preserve"> А С Х О Д Ы</w:t>
            </w:r>
          </w:p>
        </w:tc>
        <w:tc>
          <w:tcPr>
            <w:tcW w:w="709"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w:t>
            </w:r>
          </w:p>
        </w:tc>
        <w:tc>
          <w:tcPr>
            <w:tcW w:w="992"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w:t>
            </w:r>
          </w:p>
        </w:tc>
        <w:tc>
          <w:tcPr>
            <w:tcW w:w="851"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w:t>
            </w:r>
          </w:p>
        </w:tc>
        <w:tc>
          <w:tcPr>
            <w:tcW w:w="1559" w:type="dxa"/>
            <w:tcBorders>
              <w:top w:val="nil"/>
              <w:left w:val="nil"/>
              <w:bottom w:val="single" w:sz="4" w:space="0" w:color="auto"/>
              <w:right w:val="single" w:sz="4" w:space="0" w:color="auto"/>
            </w:tcBorders>
            <w:shd w:val="clear" w:color="auto" w:fill="auto"/>
            <w:hideMark/>
          </w:tcPr>
          <w:p w:rsidR="00913B3B" w:rsidRPr="00827E33" w:rsidRDefault="00913B3B" w:rsidP="003E5233">
            <w:pPr>
              <w:rPr>
                <w:sz w:val="20"/>
              </w:rPr>
            </w:pPr>
            <w:r w:rsidRPr="00827E33">
              <w:rPr>
                <w:sz w:val="20"/>
              </w:rPr>
              <w:t> </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1530"/>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0104</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1326,8</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878,4</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448,4</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66,2</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510"/>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0107</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100,0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0111</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2,8</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2,8</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0113</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232,9</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20,6</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212,3</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8,8</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0203</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89,9</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60,7</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29,2</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67,5</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0310</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1,4</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1,4</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0401</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Общеэкономические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4,8</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2,4</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50,0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0409</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Дорожное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5809,2</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4682,8</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1126,4</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80,6</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510"/>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0412</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84,4</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18,1</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66,3</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21,4</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0501</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10,7</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10,7</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0,0</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100,0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0502</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889,3</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634,1</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255,2</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71,3</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0503</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1007,5</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758,6</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248,9</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75,3</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510"/>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0505</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0,2</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ind w:right="510"/>
              <w:jc w:val="right"/>
              <w:rPr>
                <w:sz w:val="20"/>
              </w:rPr>
            </w:pPr>
            <w:r w:rsidRPr="00827E33">
              <w:rPr>
                <w:sz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0,2</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0801</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1171,2</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776,5</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394,7</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66,3</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FF"/>
            <w:hideMark/>
          </w:tcPr>
          <w:p w:rsidR="00913B3B" w:rsidRPr="00827E33" w:rsidRDefault="00913B3B" w:rsidP="003E5233">
            <w:pPr>
              <w:jc w:val="center"/>
              <w:rPr>
                <w:b/>
                <w:bCs/>
                <w:sz w:val="20"/>
              </w:rPr>
            </w:pPr>
            <w:r w:rsidRPr="00827E33">
              <w:rPr>
                <w:b/>
                <w:bCs/>
                <w:sz w:val="20"/>
              </w:rPr>
              <w:t>1102</w:t>
            </w:r>
          </w:p>
        </w:tc>
        <w:tc>
          <w:tcPr>
            <w:tcW w:w="3263" w:type="dxa"/>
            <w:tcBorders>
              <w:top w:val="nil"/>
              <w:left w:val="nil"/>
              <w:bottom w:val="single" w:sz="4" w:space="0" w:color="auto"/>
              <w:right w:val="single" w:sz="4" w:space="0" w:color="auto"/>
            </w:tcBorders>
            <w:shd w:val="clear" w:color="000000" w:fill="FFFFFF"/>
            <w:hideMark/>
          </w:tcPr>
          <w:p w:rsidR="00913B3B" w:rsidRPr="00827E33" w:rsidRDefault="00913B3B" w:rsidP="003E5233">
            <w:pPr>
              <w:rPr>
                <w:sz w:val="20"/>
              </w:rPr>
            </w:pPr>
            <w:r w:rsidRPr="00827E33">
              <w:rPr>
                <w:sz w:val="20"/>
              </w:rPr>
              <w:t>Массовый спорт</w:t>
            </w:r>
          </w:p>
        </w:tc>
        <w:tc>
          <w:tcPr>
            <w:tcW w:w="709"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3,2</w:t>
            </w:r>
          </w:p>
        </w:tc>
        <w:tc>
          <w:tcPr>
            <w:tcW w:w="992" w:type="dxa"/>
            <w:tcBorders>
              <w:top w:val="nil"/>
              <w:left w:val="nil"/>
              <w:bottom w:val="single" w:sz="4" w:space="0" w:color="auto"/>
              <w:right w:val="single" w:sz="4" w:space="0" w:color="auto"/>
            </w:tcBorders>
            <w:shd w:val="clear" w:color="auto" w:fill="auto"/>
            <w:noWrap/>
            <w:vAlign w:val="bottom"/>
            <w:hideMark/>
          </w:tcPr>
          <w:p w:rsidR="00913B3B" w:rsidRPr="00827E33" w:rsidRDefault="00913B3B" w:rsidP="003E5233">
            <w:pPr>
              <w:jc w:val="right"/>
              <w:rPr>
                <w:sz w:val="20"/>
              </w:rPr>
            </w:pPr>
            <w:r w:rsidRPr="00827E33">
              <w:rPr>
                <w:sz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3,2</w:t>
            </w:r>
          </w:p>
        </w:tc>
        <w:tc>
          <w:tcPr>
            <w:tcW w:w="1559" w:type="dxa"/>
            <w:tcBorders>
              <w:top w:val="nil"/>
              <w:left w:val="nil"/>
              <w:bottom w:val="single" w:sz="4" w:space="0" w:color="auto"/>
              <w:right w:val="single" w:sz="4" w:space="0" w:color="auto"/>
            </w:tcBorders>
            <w:shd w:val="clear" w:color="000000" w:fill="FFFFFF"/>
            <w:noWrap/>
            <w:vAlign w:val="bottom"/>
            <w:hideMark/>
          </w:tcPr>
          <w:p w:rsidR="00913B3B" w:rsidRPr="00827E33" w:rsidRDefault="00913B3B" w:rsidP="003E5233">
            <w:pPr>
              <w:jc w:val="right"/>
              <w:rPr>
                <w:sz w:val="20"/>
              </w:rPr>
            </w:pPr>
            <w:r w:rsidRPr="00827E33">
              <w:rPr>
                <w:sz w:val="20"/>
              </w:rPr>
              <w:t>0,0</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single" w:sz="4" w:space="0" w:color="auto"/>
              <w:bottom w:val="single" w:sz="4" w:space="0" w:color="auto"/>
              <w:right w:val="single" w:sz="4" w:space="0" w:color="auto"/>
            </w:tcBorders>
            <w:shd w:val="clear" w:color="000000" w:fill="FFFF00"/>
            <w:noWrap/>
            <w:vAlign w:val="bottom"/>
            <w:hideMark/>
          </w:tcPr>
          <w:p w:rsidR="00913B3B" w:rsidRPr="00827E33" w:rsidRDefault="00913B3B" w:rsidP="003E5233">
            <w:pPr>
              <w:jc w:val="center"/>
              <w:rPr>
                <w:b/>
                <w:bCs/>
                <w:sz w:val="20"/>
              </w:rPr>
            </w:pPr>
            <w:r w:rsidRPr="00827E33">
              <w:rPr>
                <w:b/>
                <w:bCs/>
                <w:sz w:val="20"/>
              </w:rPr>
              <w:t> </w:t>
            </w:r>
          </w:p>
        </w:tc>
        <w:tc>
          <w:tcPr>
            <w:tcW w:w="3263" w:type="dxa"/>
            <w:tcBorders>
              <w:top w:val="nil"/>
              <w:left w:val="nil"/>
              <w:bottom w:val="single" w:sz="4" w:space="0" w:color="auto"/>
              <w:right w:val="single" w:sz="4" w:space="0" w:color="auto"/>
            </w:tcBorders>
            <w:shd w:val="clear" w:color="000000" w:fill="FFFF00"/>
            <w:noWrap/>
            <w:vAlign w:val="bottom"/>
            <w:hideMark/>
          </w:tcPr>
          <w:p w:rsidR="00913B3B" w:rsidRPr="00827E33" w:rsidRDefault="00913B3B" w:rsidP="003E5233">
            <w:pPr>
              <w:jc w:val="center"/>
              <w:rPr>
                <w:b/>
                <w:bCs/>
                <w:sz w:val="20"/>
              </w:rPr>
            </w:pPr>
            <w:r w:rsidRPr="00827E33">
              <w:rPr>
                <w:b/>
                <w:bCs/>
                <w:sz w:val="20"/>
              </w:rPr>
              <w:t xml:space="preserve">В С Е Г О    </w:t>
            </w:r>
            <w:proofErr w:type="gramStart"/>
            <w:r w:rsidRPr="00827E33">
              <w:rPr>
                <w:b/>
                <w:bCs/>
                <w:sz w:val="20"/>
              </w:rPr>
              <w:t>Р</w:t>
            </w:r>
            <w:proofErr w:type="gramEnd"/>
            <w:r w:rsidRPr="00827E33">
              <w:rPr>
                <w:b/>
                <w:bCs/>
                <w:sz w:val="20"/>
              </w:rPr>
              <w:t xml:space="preserve"> А С Х О Д О В</w:t>
            </w:r>
          </w:p>
        </w:tc>
        <w:tc>
          <w:tcPr>
            <w:tcW w:w="709" w:type="dxa"/>
            <w:tcBorders>
              <w:top w:val="nil"/>
              <w:left w:val="nil"/>
              <w:bottom w:val="single" w:sz="4" w:space="0" w:color="auto"/>
              <w:right w:val="single" w:sz="4" w:space="0" w:color="auto"/>
            </w:tcBorders>
            <w:shd w:val="clear" w:color="000000" w:fill="FFFF00"/>
            <w:noWrap/>
            <w:vAlign w:val="bottom"/>
            <w:hideMark/>
          </w:tcPr>
          <w:p w:rsidR="00913B3B" w:rsidRPr="00827E33" w:rsidRDefault="00913B3B" w:rsidP="003E5233">
            <w:pPr>
              <w:jc w:val="right"/>
              <w:rPr>
                <w:b/>
                <w:bCs/>
                <w:sz w:val="20"/>
              </w:rPr>
            </w:pPr>
            <w:r w:rsidRPr="00827E33">
              <w:rPr>
                <w:b/>
                <w:bCs/>
                <w:sz w:val="20"/>
              </w:rPr>
              <w:t>10644,3</w:t>
            </w:r>
          </w:p>
        </w:tc>
        <w:tc>
          <w:tcPr>
            <w:tcW w:w="992" w:type="dxa"/>
            <w:tcBorders>
              <w:top w:val="nil"/>
              <w:left w:val="nil"/>
              <w:bottom w:val="single" w:sz="4" w:space="0" w:color="auto"/>
              <w:right w:val="single" w:sz="4" w:space="0" w:color="auto"/>
            </w:tcBorders>
            <w:shd w:val="clear" w:color="000000" w:fill="FFFF00"/>
            <w:noWrap/>
            <w:vAlign w:val="bottom"/>
            <w:hideMark/>
          </w:tcPr>
          <w:p w:rsidR="00913B3B" w:rsidRPr="00827E33" w:rsidRDefault="00913B3B" w:rsidP="003E5233">
            <w:pPr>
              <w:jc w:val="right"/>
              <w:rPr>
                <w:b/>
                <w:bCs/>
                <w:sz w:val="20"/>
              </w:rPr>
            </w:pPr>
            <w:r w:rsidRPr="00827E33">
              <w:rPr>
                <w:b/>
                <w:bCs/>
                <w:sz w:val="20"/>
              </w:rPr>
              <w:t>7852,9</w:t>
            </w:r>
          </w:p>
        </w:tc>
        <w:tc>
          <w:tcPr>
            <w:tcW w:w="851" w:type="dxa"/>
            <w:tcBorders>
              <w:top w:val="nil"/>
              <w:left w:val="nil"/>
              <w:bottom w:val="single" w:sz="4" w:space="0" w:color="auto"/>
              <w:right w:val="single" w:sz="4" w:space="0" w:color="auto"/>
            </w:tcBorders>
            <w:shd w:val="clear" w:color="000000" w:fill="FFFF00"/>
            <w:noWrap/>
            <w:vAlign w:val="bottom"/>
            <w:hideMark/>
          </w:tcPr>
          <w:p w:rsidR="00913B3B" w:rsidRPr="00827E33" w:rsidRDefault="00913B3B" w:rsidP="003E5233">
            <w:pPr>
              <w:jc w:val="right"/>
              <w:rPr>
                <w:b/>
                <w:bCs/>
                <w:sz w:val="20"/>
              </w:rPr>
            </w:pPr>
            <w:r w:rsidRPr="00827E33">
              <w:rPr>
                <w:b/>
                <w:bCs/>
                <w:sz w:val="20"/>
              </w:rPr>
              <w:t>2791,4</w:t>
            </w:r>
          </w:p>
        </w:tc>
        <w:tc>
          <w:tcPr>
            <w:tcW w:w="1559" w:type="dxa"/>
            <w:tcBorders>
              <w:top w:val="nil"/>
              <w:left w:val="nil"/>
              <w:bottom w:val="single" w:sz="4" w:space="0" w:color="auto"/>
              <w:right w:val="single" w:sz="4" w:space="0" w:color="auto"/>
            </w:tcBorders>
            <w:shd w:val="clear" w:color="000000" w:fill="FFFF00"/>
            <w:noWrap/>
            <w:vAlign w:val="bottom"/>
            <w:hideMark/>
          </w:tcPr>
          <w:p w:rsidR="00913B3B" w:rsidRPr="00827E33" w:rsidRDefault="00913B3B" w:rsidP="003E5233">
            <w:pPr>
              <w:jc w:val="right"/>
              <w:rPr>
                <w:b/>
                <w:bCs/>
                <w:sz w:val="20"/>
              </w:rPr>
            </w:pPr>
            <w:r w:rsidRPr="00827E33">
              <w:rPr>
                <w:b/>
                <w:bCs/>
                <w:sz w:val="20"/>
              </w:rPr>
              <w:t>73,8</w:t>
            </w: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3263"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709"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992"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851"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1559"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3263" w:type="dxa"/>
            <w:tcBorders>
              <w:top w:val="nil"/>
              <w:left w:val="nil"/>
              <w:bottom w:val="nil"/>
              <w:right w:val="nil"/>
            </w:tcBorders>
            <w:shd w:val="clear" w:color="000000" w:fill="FFFFFF"/>
            <w:hideMark/>
          </w:tcPr>
          <w:p w:rsidR="00913B3B" w:rsidRPr="00827E33" w:rsidRDefault="00913B3B" w:rsidP="003E5233">
            <w:pPr>
              <w:rPr>
                <w:sz w:val="20"/>
              </w:rPr>
            </w:pPr>
            <w:r w:rsidRPr="00827E33">
              <w:rPr>
                <w:sz w:val="20"/>
              </w:rPr>
              <w:t>Дефицит</w:t>
            </w:r>
          </w:p>
        </w:tc>
        <w:tc>
          <w:tcPr>
            <w:tcW w:w="709" w:type="dxa"/>
            <w:tcBorders>
              <w:top w:val="nil"/>
              <w:left w:val="nil"/>
              <w:bottom w:val="nil"/>
              <w:right w:val="nil"/>
            </w:tcBorders>
            <w:shd w:val="clear" w:color="auto" w:fill="auto"/>
            <w:noWrap/>
            <w:vAlign w:val="bottom"/>
            <w:hideMark/>
          </w:tcPr>
          <w:p w:rsidR="00913B3B" w:rsidRPr="00827E33" w:rsidRDefault="00913B3B" w:rsidP="003E5233">
            <w:pPr>
              <w:jc w:val="right"/>
              <w:rPr>
                <w:b/>
                <w:bCs/>
                <w:sz w:val="20"/>
              </w:rPr>
            </w:pPr>
            <w:r w:rsidRPr="00827E33">
              <w:rPr>
                <w:b/>
                <w:bCs/>
                <w:sz w:val="20"/>
              </w:rPr>
              <w:t>-802,2</w:t>
            </w:r>
          </w:p>
        </w:tc>
        <w:tc>
          <w:tcPr>
            <w:tcW w:w="992" w:type="dxa"/>
            <w:tcBorders>
              <w:top w:val="nil"/>
              <w:left w:val="nil"/>
              <w:bottom w:val="nil"/>
              <w:right w:val="nil"/>
            </w:tcBorders>
            <w:shd w:val="clear" w:color="auto" w:fill="auto"/>
            <w:noWrap/>
            <w:vAlign w:val="bottom"/>
            <w:hideMark/>
          </w:tcPr>
          <w:p w:rsidR="00913B3B" w:rsidRPr="00827E33" w:rsidRDefault="00913B3B" w:rsidP="003E5233">
            <w:pPr>
              <w:jc w:val="right"/>
              <w:rPr>
                <w:sz w:val="20"/>
              </w:rPr>
            </w:pPr>
            <w:r w:rsidRPr="00827E33">
              <w:rPr>
                <w:sz w:val="20"/>
              </w:rPr>
              <w:t>-481,9</w:t>
            </w:r>
          </w:p>
        </w:tc>
        <w:tc>
          <w:tcPr>
            <w:tcW w:w="851"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1559"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r w:rsidR="00913B3B" w:rsidRPr="00827E33" w:rsidTr="003E5233">
        <w:trPr>
          <w:trHeight w:val="255"/>
        </w:trPr>
        <w:tc>
          <w:tcPr>
            <w:tcW w:w="2989"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3263"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709"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992"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851"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1559" w:type="dxa"/>
            <w:tcBorders>
              <w:top w:val="nil"/>
              <w:left w:val="nil"/>
              <w:bottom w:val="nil"/>
              <w:right w:val="nil"/>
            </w:tcBorders>
            <w:shd w:val="clear" w:color="auto" w:fill="auto"/>
            <w:noWrap/>
            <w:vAlign w:val="bottom"/>
            <w:hideMark/>
          </w:tcPr>
          <w:p w:rsidR="00913B3B" w:rsidRPr="00827E33" w:rsidRDefault="00913B3B" w:rsidP="003E5233">
            <w:pPr>
              <w:rPr>
                <w:sz w:val="20"/>
              </w:rPr>
            </w:pPr>
          </w:p>
        </w:tc>
        <w:tc>
          <w:tcPr>
            <w:tcW w:w="685" w:type="dxa"/>
            <w:gridSpan w:val="2"/>
            <w:tcBorders>
              <w:top w:val="nil"/>
              <w:left w:val="nil"/>
              <w:bottom w:val="nil"/>
              <w:right w:val="nil"/>
            </w:tcBorders>
            <w:shd w:val="clear" w:color="auto" w:fill="auto"/>
            <w:noWrap/>
            <w:vAlign w:val="bottom"/>
            <w:hideMark/>
          </w:tcPr>
          <w:p w:rsidR="00913B3B" w:rsidRPr="00827E33" w:rsidRDefault="00913B3B" w:rsidP="003E5233">
            <w:pPr>
              <w:rPr>
                <w:sz w:val="20"/>
              </w:rPr>
            </w:pPr>
          </w:p>
        </w:tc>
      </w:tr>
    </w:tbl>
    <w:p w:rsidR="002C1FFD" w:rsidRPr="00082E8B" w:rsidRDefault="002C1FFD" w:rsidP="009A7863">
      <w:pPr>
        <w:jc w:val="left"/>
        <w:rPr>
          <w:b/>
          <w:sz w:val="20"/>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BB0B1C">
        <w:tc>
          <w:tcPr>
            <w:tcW w:w="261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«Вестник Богатыревского сельского поселения»</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FF745E" w:rsidRPr="004F621C" w:rsidRDefault="00FF745E" w:rsidP="00BB0B1C">
            <w:pPr>
              <w:pStyle w:val="a00"/>
              <w:spacing w:before="0" w:beforeAutospacing="0" w:after="0" w:afterAutospacing="0"/>
              <w:rPr>
                <w:sz w:val="18"/>
                <w:szCs w:val="18"/>
              </w:rPr>
            </w:pPr>
            <w:r w:rsidRPr="004F621C">
              <w:rPr>
                <w:rStyle w:val="ae"/>
                <w:color w:val="000080"/>
                <w:sz w:val="18"/>
                <w:szCs w:val="18"/>
              </w:rPr>
              <w:t xml:space="preserve">429922, Чувашская Республика, Цивильский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sidR="00631980">
              <w:rPr>
                <w:rStyle w:val="ae"/>
                <w:color w:val="000080"/>
                <w:sz w:val="18"/>
                <w:szCs w:val="18"/>
              </w:rPr>
              <w:t>у</w:t>
            </w:r>
            <w:r w:rsidRPr="004F621C">
              <w:rPr>
                <w:rStyle w:val="ae"/>
                <w:color w:val="000080"/>
                <w:sz w:val="18"/>
                <w:szCs w:val="18"/>
              </w:rPr>
              <w:t>л.Восточная, д.3</w:t>
            </w:r>
          </w:p>
          <w:p w:rsidR="00FF745E" w:rsidRPr="004F621C" w:rsidRDefault="00FF745E" w:rsidP="00BB0B1C">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8"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FF745E" w:rsidRPr="004F621C" w:rsidRDefault="00FF745E" w:rsidP="00BB0B1C">
            <w:pPr>
              <w:pStyle w:val="a00"/>
              <w:spacing w:before="0" w:beforeAutospacing="0" w:after="0" w:afterAutospacing="0"/>
              <w:rPr>
                <w:sz w:val="18"/>
                <w:szCs w:val="18"/>
              </w:rPr>
            </w:pPr>
            <w:r>
              <w:rPr>
                <w:rStyle w:val="ae"/>
                <w:color w:val="000080"/>
                <w:sz w:val="18"/>
                <w:szCs w:val="18"/>
              </w:rPr>
              <w:t>Лаврентьев А.В.</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FF745E" w:rsidRPr="004F621C" w:rsidRDefault="00FF745E" w:rsidP="00631980">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964EF2" w:rsidRDefault="00964EF2"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913B3B">
      <w:pgSz w:w="11906" w:h="16838"/>
      <w:pgMar w:top="720" w:right="720" w:bottom="720" w:left="72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BB0" w:rsidRDefault="005B4BB0" w:rsidP="0040602A">
      <w:r>
        <w:separator/>
      </w:r>
    </w:p>
  </w:endnote>
  <w:endnote w:type="continuationSeparator" w:id="0">
    <w:p w:rsidR="005B4BB0" w:rsidRDefault="005B4BB0"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BB0" w:rsidRDefault="005B4BB0" w:rsidP="0040602A">
      <w:r>
        <w:separator/>
      </w:r>
    </w:p>
  </w:footnote>
  <w:footnote w:type="continuationSeparator" w:id="0">
    <w:p w:rsidR="005B4BB0" w:rsidRDefault="005B4BB0"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3">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5">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6">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
  </w:num>
  <w:num w:numId="9">
    <w:abstractNumId w:val="18"/>
  </w:num>
  <w:num w:numId="10">
    <w:abstractNumId w:val="1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7"/>
  </w:num>
  <w:num w:numId="16">
    <w:abstractNumId w:val="5"/>
  </w:num>
  <w:num w:numId="17">
    <w:abstractNumId w:val="3"/>
  </w:num>
  <w:num w:numId="18">
    <w:abstractNumId w:val="19"/>
  </w:num>
  <w:num w:numId="19">
    <w:abstractNumId w:val="10"/>
  </w:num>
  <w:num w:numId="20">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04EFE"/>
    <w:rsid w:val="0005552F"/>
    <w:rsid w:val="00082E8B"/>
    <w:rsid w:val="000878BF"/>
    <w:rsid w:val="00093D8A"/>
    <w:rsid w:val="000A3F40"/>
    <w:rsid w:val="000D40A8"/>
    <w:rsid w:val="000E31E9"/>
    <w:rsid w:val="000E3359"/>
    <w:rsid w:val="000E6A1A"/>
    <w:rsid w:val="001025CE"/>
    <w:rsid w:val="00117475"/>
    <w:rsid w:val="00121272"/>
    <w:rsid w:val="00125249"/>
    <w:rsid w:val="00130896"/>
    <w:rsid w:val="00133BEE"/>
    <w:rsid w:val="001376DE"/>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203F"/>
    <w:rsid w:val="00206A38"/>
    <w:rsid w:val="002073CB"/>
    <w:rsid w:val="00210277"/>
    <w:rsid w:val="00233C37"/>
    <w:rsid w:val="002349FF"/>
    <w:rsid w:val="00250F4F"/>
    <w:rsid w:val="00253214"/>
    <w:rsid w:val="00292612"/>
    <w:rsid w:val="00297AA6"/>
    <w:rsid w:val="002A1A86"/>
    <w:rsid w:val="002A249D"/>
    <w:rsid w:val="002C1FFD"/>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73E4D"/>
    <w:rsid w:val="004760C9"/>
    <w:rsid w:val="004816EA"/>
    <w:rsid w:val="004847D1"/>
    <w:rsid w:val="004A1092"/>
    <w:rsid w:val="004A1EE1"/>
    <w:rsid w:val="004A7A20"/>
    <w:rsid w:val="004A7CB0"/>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1FAA"/>
    <w:rsid w:val="00567289"/>
    <w:rsid w:val="00577205"/>
    <w:rsid w:val="00577A6C"/>
    <w:rsid w:val="00580388"/>
    <w:rsid w:val="00585B1B"/>
    <w:rsid w:val="005A4C24"/>
    <w:rsid w:val="005B4BB0"/>
    <w:rsid w:val="005D25C5"/>
    <w:rsid w:val="005D50F2"/>
    <w:rsid w:val="005F0035"/>
    <w:rsid w:val="005F2C41"/>
    <w:rsid w:val="005F40CF"/>
    <w:rsid w:val="006065D4"/>
    <w:rsid w:val="00613FB2"/>
    <w:rsid w:val="00617BC0"/>
    <w:rsid w:val="006248A9"/>
    <w:rsid w:val="00631657"/>
    <w:rsid w:val="00631980"/>
    <w:rsid w:val="006415E0"/>
    <w:rsid w:val="00642572"/>
    <w:rsid w:val="006478CF"/>
    <w:rsid w:val="00653FCA"/>
    <w:rsid w:val="006636B8"/>
    <w:rsid w:val="00664974"/>
    <w:rsid w:val="0067115E"/>
    <w:rsid w:val="00674D50"/>
    <w:rsid w:val="00674F40"/>
    <w:rsid w:val="00675EAB"/>
    <w:rsid w:val="006A50C7"/>
    <w:rsid w:val="006B4654"/>
    <w:rsid w:val="006B5D41"/>
    <w:rsid w:val="006E6336"/>
    <w:rsid w:val="00701A9E"/>
    <w:rsid w:val="007036E2"/>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7EE5"/>
    <w:rsid w:val="008E6F5B"/>
    <w:rsid w:val="008E7E79"/>
    <w:rsid w:val="008F713D"/>
    <w:rsid w:val="009026F3"/>
    <w:rsid w:val="00913B3B"/>
    <w:rsid w:val="00917259"/>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A7863"/>
    <w:rsid w:val="009E40B0"/>
    <w:rsid w:val="009F5C9A"/>
    <w:rsid w:val="009F7855"/>
    <w:rsid w:val="00A05A64"/>
    <w:rsid w:val="00A12E63"/>
    <w:rsid w:val="00A14746"/>
    <w:rsid w:val="00A151A7"/>
    <w:rsid w:val="00A20F9E"/>
    <w:rsid w:val="00A271A6"/>
    <w:rsid w:val="00A32B11"/>
    <w:rsid w:val="00A409F7"/>
    <w:rsid w:val="00A45F77"/>
    <w:rsid w:val="00A64B51"/>
    <w:rsid w:val="00A92F6A"/>
    <w:rsid w:val="00A95576"/>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D46B8"/>
    <w:rsid w:val="00BE7B23"/>
    <w:rsid w:val="00C05E6D"/>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4BBF"/>
    <w:rsid w:val="00D279D3"/>
    <w:rsid w:val="00D44B9D"/>
    <w:rsid w:val="00D46266"/>
    <w:rsid w:val="00D51168"/>
    <w:rsid w:val="00D60BBD"/>
    <w:rsid w:val="00D66431"/>
    <w:rsid w:val="00D666F2"/>
    <w:rsid w:val="00D829A7"/>
    <w:rsid w:val="00D95760"/>
    <w:rsid w:val="00D96CAD"/>
    <w:rsid w:val="00DA7441"/>
    <w:rsid w:val="00DB0294"/>
    <w:rsid w:val="00DB5924"/>
    <w:rsid w:val="00DD4A59"/>
    <w:rsid w:val="00E00186"/>
    <w:rsid w:val="00E36948"/>
    <w:rsid w:val="00E471DB"/>
    <w:rsid w:val="00E5200F"/>
    <w:rsid w:val="00E5705C"/>
    <w:rsid w:val="00E817CF"/>
    <w:rsid w:val="00E86A15"/>
    <w:rsid w:val="00E87C95"/>
    <w:rsid w:val="00E92375"/>
    <w:rsid w:val="00E95EC3"/>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57D9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iPriority w:val="99"/>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 w:type="paragraph" w:customStyle="1" w:styleId="default0">
    <w:name w:val="default"/>
    <w:basedOn w:val="a"/>
    <w:rsid w:val="005D50F2"/>
    <w:pPr>
      <w:spacing w:before="100" w:beforeAutospacing="1" w:after="100" w:afterAutospacing="1"/>
      <w:jc w:val="left"/>
    </w:pPr>
    <w:rPr>
      <w:sz w:val="24"/>
      <w:szCs w:val="24"/>
    </w:rPr>
  </w:style>
  <w:style w:type="character" w:customStyle="1" w:styleId="hyperlink">
    <w:name w:val="hyperlink"/>
    <w:basedOn w:val="a0"/>
    <w:rsid w:val="005D50F2"/>
  </w:style>
  <w:style w:type="paragraph" w:customStyle="1" w:styleId="plaintext">
    <w:name w:val="plaintext"/>
    <w:basedOn w:val="a"/>
    <w:rsid w:val="005D50F2"/>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o-bogat@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78CA-E7E8-4837-BEEF-8A24A0E2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Pages>
  <Words>1121</Words>
  <Characters>6391</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Глава администрации Богатыревского</vt:lpstr>
      <vt:lpstr>сельского поселения                                                         </vt:lpstr>
    </vt:vector>
  </TitlesOfParts>
  <Company>Reanimator Extreme Edition</Company>
  <LinksUpToDate>false</LinksUpToDate>
  <CharactersWithSpaces>7498</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26</cp:revision>
  <cp:lastPrinted>2019-09-26T08:15:00Z</cp:lastPrinted>
  <dcterms:created xsi:type="dcterms:W3CDTF">2018-04-20T09:43:00Z</dcterms:created>
  <dcterms:modified xsi:type="dcterms:W3CDTF">2019-10-09T12:41:00Z</dcterms:modified>
</cp:coreProperties>
</file>