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B" w:rsidRDefault="004479DB" w:rsidP="004479D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В рамках исполнения «Плана мероприятий по приведению качества питьевой воды в соответствии с установленными требованиями на 2016-2020 гг.» в 2018-2019гг. проведены работы по текущему ремонту </w:t>
      </w:r>
      <w:proofErr w:type="spellStart"/>
      <w:r>
        <w:rPr>
          <w:rFonts w:ascii="Verdana" w:hAnsi="Verdana"/>
          <w:color w:val="000000"/>
          <w:sz w:val="17"/>
          <w:szCs w:val="17"/>
        </w:rPr>
        <w:t>водосетей</w:t>
      </w:r>
      <w:proofErr w:type="spellEnd"/>
      <w:r>
        <w:rPr>
          <w:rFonts w:ascii="Verdana" w:hAnsi="Verdana"/>
          <w:color w:val="000000"/>
          <w:sz w:val="17"/>
          <w:szCs w:val="17"/>
        </w:rPr>
        <w:t>, устранение порывов в с. Сотниково, проведено утепление водонапорной башни в деревнях Большое Шигаево, Малое Шигаево, Малое Яндуганово, Большое Яндуганово и в селе Сотниково,  текущий ремонт запорной арматуры (вентилей, задвижек) в водопроводных колодцах и текущий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ремонт  водопроводных колодцев.</w:t>
      </w:r>
    </w:p>
    <w:p w:rsidR="004479DB" w:rsidRDefault="004479DB" w:rsidP="004479D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2019 году проведен лабораторно-производственный контроль качества питьевой воды, подаваемой населению из водонапорных башен.  Оформлены права собственности на существующие водозаборные сооружения (артезианские скважины, водонапорные башни и водопроводные сети).</w:t>
      </w:r>
    </w:p>
    <w:p w:rsidR="004D3282" w:rsidRDefault="004D3282"/>
    <w:sectPr w:rsidR="004D3282" w:rsidSect="004D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DB"/>
    <w:rsid w:val="004479DB"/>
    <w:rsid w:val="004D3282"/>
    <w:rsid w:val="00A24A56"/>
    <w:rsid w:val="00E0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2019-08-21T08:52:00Z</dcterms:created>
  <dcterms:modified xsi:type="dcterms:W3CDTF">2019-08-21T10:06:00Z</dcterms:modified>
</cp:coreProperties>
</file>