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CA" w:rsidRDefault="00CD09CA" w:rsidP="00CD09CA">
      <w:pPr>
        <w:jc w:val="both"/>
        <w:rPr>
          <w:rFonts w:ascii="Times New Roman" w:hAnsi="Times New Roman"/>
          <w:b/>
          <w:sz w:val="22"/>
          <w:szCs w:val="22"/>
        </w:rPr>
      </w:pPr>
    </w:p>
    <w:p w:rsidR="00CD09CA" w:rsidRDefault="00CD09CA" w:rsidP="00CD09CA">
      <w:pPr>
        <w:jc w:val="both"/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Pr="00CD09CA" w:rsidRDefault="00CD09CA" w:rsidP="00CD09CA">
      <w:pPr>
        <w:tabs>
          <w:tab w:val="left" w:pos="0"/>
          <w:tab w:val="left" w:pos="1500"/>
        </w:tabs>
        <w:autoSpaceDE w:val="0"/>
        <w:spacing w:before="480" w:after="108" w:line="276" w:lineRule="auto"/>
        <w:ind w:firstLine="567"/>
        <w:contextualSpacing/>
        <w:jc w:val="center"/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lang w:eastAsia="en-US"/>
        </w:rPr>
        <w:t xml:space="preserve">Правила землепользования и застройки </w:t>
      </w:r>
      <w:proofErr w:type="spellStart"/>
      <w:r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lang w:eastAsia="en-US"/>
        </w:rPr>
        <w:t>Аксаринского</w:t>
      </w:r>
      <w:proofErr w:type="spellEnd"/>
      <w:r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lang w:eastAsia="en-US"/>
        </w:rPr>
        <w:t xml:space="preserve"> сельского поселения Мариинско-Посадского района</w:t>
      </w: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  <w:tab w:val="left" w:pos="2865"/>
        </w:tabs>
        <w:autoSpaceDE w:val="0"/>
        <w:spacing w:before="480" w:after="108" w:line="276" w:lineRule="auto"/>
        <w:ind w:firstLine="567"/>
        <w:contextualSpacing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ab/>
        <w:t>12.11.2018 год</w:t>
      </w:r>
      <w:bookmarkStart w:id="0" w:name="_GoBack"/>
      <w:bookmarkEnd w:id="0"/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lastRenderedPageBreak/>
        <w:t>Приложение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К решению Собрания депутатов 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proofErr w:type="spellStart"/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сельского поселения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Мариинско-Посадского района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Чувашской Республики</w:t>
      </w:r>
    </w:p>
    <w:p w:rsidR="00CD09CA" w:rsidRPr="00A46AD9" w:rsidRDefault="00CD09CA" w:rsidP="00CD09CA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proofErr w:type="gramStart"/>
      <w:r w:rsidRPr="00A46AD9">
        <w:rPr>
          <w:rFonts w:ascii="Times New Roman" w:eastAsia="Calibri" w:hAnsi="Times New Roman"/>
          <w:b/>
          <w:sz w:val="20"/>
          <w:szCs w:val="20"/>
          <w:lang w:eastAsia="ar-SA"/>
        </w:rPr>
        <w:t>от  12.11.2018</w:t>
      </w:r>
      <w:proofErr w:type="gramEnd"/>
      <w:r w:rsidRPr="00A46AD9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г. № 30/1 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Pr="00A46AD9" w:rsidRDefault="00CD09CA" w:rsidP="00CD09CA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A46AD9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</w:t>
      </w: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D09CA" w:rsidRPr="00A46AD9" w:rsidRDefault="00CD09CA" w:rsidP="00CD09CA">
      <w:pPr>
        <w:tabs>
          <w:tab w:val="left" w:pos="0"/>
        </w:tabs>
        <w:autoSpaceDE w:val="0"/>
        <w:spacing w:before="480" w:after="108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>РАЗДЕЛ II. КАРТА ГРАДОСТРОИТЕЛЬНОГО ЗОНИРОВАНИЯ И ЗОН С ОСОБЫМИ УСЛОВИЯМИ ИСПОЛЬЗОВАНИЯ ТЕРРИТОРИИ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contextualSpacing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" w:name="__RefHeading___Toc442193455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34. Состав и содержание карты градостроительного зонирования</w:t>
      </w:r>
      <w:bookmarkEnd w:id="1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A46AD9">
        <w:rPr>
          <w:rFonts w:ascii="Times New Roman" w:hAnsi="Times New Roman"/>
          <w:b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</w:p>
    <w:p w:rsidR="00CD09CA" w:rsidRPr="00A46AD9" w:rsidRDefault="00CD09CA" w:rsidP="00CD09CA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Карта градостроительного зонирования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представляет собой чертёж на котором территория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разделена на территориальные зоны с отображением границ населенных пунктов, входящих в состав 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, границ земель различных категорий, находящихся в государственной, муниципальной и частной собственности, а также бесхозяйных земельных участков, границ зон с особыми условиями использования территорий.</w:t>
      </w:r>
    </w:p>
    <w:p w:rsidR="00CD09CA" w:rsidRPr="00A46AD9" w:rsidRDefault="00CD09CA" w:rsidP="00CD09CA">
      <w:pPr>
        <w:pStyle w:val="1"/>
        <w:ind w:left="0" w:firstLine="708"/>
        <w:jc w:val="both"/>
        <w:rPr>
          <w:b/>
          <w:color w:val="000000"/>
          <w:u w:val="none"/>
        </w:rPr>
      </w:pPr>
      <w:r w:rsidRPr="00A46AD9">
        <w:rPr>
          <w:color w:val="000000"/>
          <w:u w:val="none"/>
          <w:lang w:eastAsia="ar-SA"/>
        </w:rPr>
        <w:t xml:space="preserve">2. Описание и отображение территориальных зон (условные обозначения) на карте градостроительного зонирования и зон с особыми условиями использования территории выполнены в соответствии с </w:t>
      </w:r>
      <w:hyperlink r:id="rId5" w:history="1">
        <w:r w:rsidRPr="00A46AD9">
          <w:rPr>
            <w:rStyle w:val="aa"/>
            <w:color w:val="000000"/>
            <w:sz w:val="20"/>
            <w:u w:val="none"/>
          </w:rPr>
          <w:t>Приказом Министерства регионального развития РФ от 09.01.2018 №10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№793"</w:t>
        </w:r>
      </w:hyperlink>
      <w:r w:rsidRPr="00A46AD9">
        <w:rPr>
          <w:b/>
          <w:color w:val="000000"/>
          <w:u w:val="none"/>
        </w:rPr>
        <w:t>.</w:t>
      </w:r>
    </w:p>
    <w:p w:rsidR="00CD09CA" w:rsidRPr="00A46AD9" w:rsidRDefault="00CD09CA" w:rsidP="00CD09CA">
      <w:pPr>
        <w:numPr>
          <w:ilvl w:val="2"/>
          <w:numId w:val="3"/>
        </w:numPr>
        <w:tabs>
          <w:tab w:val="clear" w:pos="720"/>
          <w:tab w:val="left" w:pos="993"/>
        </w:tabs>
        <w:suppressAutoHyphens/>
        <w:ind w:left="0" w:firstLine="85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3. Размеры зон с особыми условиями использования территории, их  границы установлены на карте зонирования и зон с особыми условиями использования территории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на основании сведений государственного кадастра недвижимости (если </w:t>
      </w:r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охранные, санитарно-защитные зоны, зоны охраны объектов культурного наследия, </w:t>
      </w:r>
      <w:proofErr w:type="spellStart"/>
      <w:r w:rsidRPr="00A46AD9">
        <w:rPr>
          <w:rFonts w:ascii="Times New Roman" w:eastAsia="Calibri" w:hAnsi="Times New Roman"/>
          <w:color w:val="000000"/>
          <w:sz w:val="20"/>
          <w:szCs w:val="20"/>
        </w:rPr>
        <w:t>водоохранные</w:t>
      </w:r>
      <w:proofErr w:type="spellEnd"/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 зоны, зоны затопления, подтопления, зоны охраняемых объектов, иные зоны поставлены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на кадастровый учет), а также на основании, санитарно-эпидемиологических нормативов и правил (СанПиН), местных нормативов градостроительного проектирования и требований действующего законодательства.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4. Границы территориальных зон в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соответствии  с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5. Порядок установления территориальных зон определен статьей 34 Градостроительного кодекса Российской Федерации. </w:t>
      </w:r>
    </w:p>
    <w:p w:rsidR="00CD09CA" w:rsidRPr="00A46AD9" w:rsidRDefault="00CD09CA" w:rsidP="00CD09CA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6. Сведения о территориальных зонах, зонах с особыми условиями использования территории (текстовое и графическое описание местоположения границ, перечень координат характерных точек этих границ в системе координат, установленной для ведения государственного кадастра объектов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</w:rPr>
        <w:t>недвижимости)  подлежат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</w:rPr>
        <w:t xml:space="preserve"> внесению в государственный кадастр недвижимости (Федеральный закон «О Государственной регистрации недвижимости» от 13 июля 2015 года №218-ФЗ).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7.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характерных точек этих границ в системе координат, используемой для ведения Единого государственного реестра недвижимости.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8.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9. Работы по графическому и текстовому описанию местоположения границы территориальной зоны выполняются физическим лицом,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</w:t>
      </w: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>Федерального закона от 24.07.2007 N 221-ФЗ "О кадастровой деятельности" договора подряда на выполнение кадастровых работ, если иное не установлено действующим законодательством. Орган местного самоуправления поселения также вправе подготовить текстовое описание местоположения границ территориальных зон.</w:t>
      </w:r>
    </w:p>
    <w:p w:rsidR="00CD09CA" w:rsidRPr="00A46AD9" w:rsidRDefault="00CD09CA" w:rsidP="00CD09CA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10. Подготовленные графические и текстовые описания местоположения границ территориальных зон согласовываются главой сельского поселения и предоставляются в орган кадастрового учета для постановки границ территориальных зон на кадастровый учет.</w:t>
      </w:r>
    </w:p>
    <w:p w:rsidR="00CD09CA" w:rsidRPr="00A46AD9" w:rsidRDefault="00CD09CA" w:rsidP="00CD09CA">
      <w:pPr>
        <w:ind w:firstLine="708"/>
        <w:jc w:val="both"/>
        <w:rPr>
          <w:rStyle w:val="StrongEmphasis"/>
          <w:rFonts w:ascii="Times New Roman" w:eastAsia="Verdana, 'Helvetica Neue', Helv" w:hAnsi="Times New Roman"/>
          <w:b w:val="0"/>
          <w:bCs w:val="0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11. 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</w:t>
      </w:r>
      <w:r w:rsidRPr="00A46AD9">
        <w:rPr>
          <w:rStyle w:val="StrongEmphasis"/>
          <w:rFonts w:ascii="Times New Roman" w:eastAsia="Verdana, 'Helvetica Neue', Helv" w:hAnsi="Times New Roman"/>
          <w:color w:val="000000"/>
          <w:sz w:val="20"/>
          <w:szCs w:val="20"/>
        </w:rPr>
        <w:t xml:space="preserve">в орган кадастрового учета занимаются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государственные органы исполнительной власти, органы местного самоуправления в случае принятия ими </w:t>
      </w:r>
      <w:r w:rsidRPr="00A46AD9">
        <w:rPr>
          <w:rFonts w:ascii="Times New Roman" w:eastAsia="Verdana, 'Helvetica Neue', Helv" w:hAnsi="Times New Roman"/>
          <w:color w:val="000000"/>
          <w:sz w:val="20"/>
          <w:szCs w:val="20"/>
        </w:rPr>
        <w:t xml:space="preserve">решений (актов) об установлении зон с особыми условиями использования территорий, а также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заинтересованные юридические и физические лица (сетевые и эксплуатационные организации, </w:t>
      </w:r>
      <w:r w:rsidRPr="00A46AD9">
        <w:rPr>
          <w:rStyle w:val="StrongEmphasis"/>
          <w:rFonts w:ascii="Times New Roman" w:eastAsia="Verdana, 'Helvetica Neue', Helv" w:hAnsi="Times New Roman"/>
          <w:color w:val="000000"/>
          <w:sz w:val="20"/>
          <w:szCs w:val="20"/>
        </w:rPr>
        <w:t>правообладатели, арендаторы объектов недвижимости, в связи с обеспечением условий эксплуатации которых устанавливаются соответствующие зоны).</w:t>
      </w:r>
    </w:p>
    <w:p w:rsidR="00CD09CA" w:rsidRPr="00A46AD9" w:rsidRDefault="00CD09CA" w:rsidP="00CD09CA">
      <w:pPr>
        <w:pStyle w:val="Standard"/>
        <w:autoSpaceDE w:val="0"/>
        <w:ind w:firstLine="709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A46AD9">
        <w:rPr>
          <w:rFonts w:cs="Times New Roman"/>
          <w:color w:val="000000"/>
          <w:sz w:val="20"/>
          <w:szCs w:val="20"/>
          <w:lang w:val="ru-RU"/>
        </w:rPr>
        <w:t xml:space="preserve">12.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После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постановки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территориальных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r w:rsidRPr="00A46AD9">
        <w:rPr>
          <w:rFonts w:cs="Times New Roman"/>
          <w:color w:val="000000"/>
          <w:sz w:val="20"/>
          <w:szCs w:val="20"/>
          <w:lang w:val="ru-RU"/>
        </w:rPr>
        <w:t xml:space="preserve">и зон с особыми условиями использования территории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кадастровый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учет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(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что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должно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быть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подтверждено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уведомлением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органа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кадастрового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учета</w:t>
      </w:r>
      <w:proofErr w:type="spellEnd"/>
      <w:r w:rsidRPr="00A46AD9">
        <w:rPr>
          <w:rFonts w:cs="Times New Roman"/>
          <w:color w:val="000000"/>
          <w:sz w:val="20"/>
          <w:szCs w:val="20"/>
        </w:rPr>
        <w:t>)</w:t>
      </w:r>
      <w:r w:rsidRPr="00A46AD9">
        <w:rPr>
          <w:rFonts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карт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а</w:t>
      </w:r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градостроительного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зонирования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с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особыми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условиями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использования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территории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должна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быть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приведена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в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соответстви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и</w:t>
      </w:r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сведениями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государственного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недвижимости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. Внесение изменений в Правила осуществляется в соответствии с частью 14 статьи 32 настоящих Правил.</w:t>
      </w:r>
    </w:p>
    <w:p w:rsidR="00CD09CA" w:rsidRPr="00A46AD9" w:rsidRDefault="00CD09CA" w:rsidP="00CD09CA">
      <w:pPr>
        <w:pStyle w:val="Textbody"/>
        <w:widowControl/>
        <w:spacing w:after="225"/>
        <w:ind w:firstLine="708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A46AD9">
        <w:rPr>
          <w:rFonts w:cs="Times New Roman"/>
          <w:color w:val="000000"/>
          <w:sz w:val="20"/>
          <w:szCs w:val="20"/>
          <w:lang w:val="ru-RU"/>
        </w:rPr>
        <w:t xml:space="preserve">13. С 1 января 2018 года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обязательным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приложением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к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разрешению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ввод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объекта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в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эксплуатацию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являются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представленные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заявителем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текстовое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графическое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описания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местоположения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охранной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 xml:space="preserve"> (если по условиям эксплуатации должны устанавливаться соответствующие зоны)</w:t>
      </w:r>
      <w:r w:rsidRPr="00A46AD9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перечень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координат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характерных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точек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такой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.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этом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данное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разрешение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одновременно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является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решением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установлении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охранной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указанного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объекта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 xml:space="preserve"> (Федеральный закон от 13 июля 2015 №252-ФЗ «О внесении изменений в Земельный кодекс Российской Федерации и отдельные законодательные акты Российской Федерации»). </w:t>
      </w:r>
    </w:p>
    <w:p w:rsidR="00CD09CA" w:rsidRPr="00A46AD9" w:rsidRDefault="00CD09CA" w:rsidP="00CD09CA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2" w:name="__RefHeading___Toc442193457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35. Порядок ведения карты градостроительного зонирования</w:t>
      </w:r>
      <w:bookmarkEnd w:id="2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A46AD9">
        <w:rPr>
          <w:rFonts w:ascii="Times New Roman" w:hAnsi="Times New Roman"/>
          <w:b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</w:p>
    <w:p w:rsidR="00CD09CA" w:rsidRPr="00A46AD9" w:rsidRDefault="00CD09CA" w:rsidP="00CD09CA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В случае изменения границ населенных пунктов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, границ земель различных категорий, расположенных на территории муниципального образования,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границ территориальных зон или границ зон с особыми условиями использования территории, установления границ территории, в границах которых предусматривается осуществление деятельности по комплексному и устойчивому развитию территории,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 настоящие Правила.</w:t>
      </w:r>
    </w:p>
    <w:p w:rsidR="00CD09CA" w:rsidRPr="00A46AD9" w:rsidRDefault="00CD09CA" w:rsidP="00CD09CA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Внесение изменений в настоящие Правила производится в соответствии со статьёй 32 Правил.</w:t>
      </w:r>
      <w:bookmarkStart w:id="3" w:name="Par866"/>
      <w:bookmarkStart w:id="4" w:name="__RefHeading___Toc442193458"/>
      <w:bookmarkEnd w:id="3"/>
    </w:p>
    <w:p w:rsidR="00CD09CA" w:rsidRPr="00A46AD9" w:rsidRDefault="00CD09CA" w:rsidP="00CD09CA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09CA" w:rsidRPr="00A46AD9" w:rsidRDefault="00CD09CA" w:rsidP="00CD09CA">
      <w:pPr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36. Перечень территориальных зон, выделенных на карте градостроительного зонирования </w:t>
      </w:r>
      <w:bookmarkEnd w:id="4"/>
      <w:proofErr w:type="spellStart"/>
      <w:r w:rsidRPr="00A46AD9">
        <w:rPr>
          <w:rFonts w:ascii="Times New Roman" w:hAnsi="Times New Roman"/>
          <w:b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сельского поселения </w:t>
      </w:r>
    </w:p>
    <w:p w:rsidR="00CD09CA" w:rsidRPr="00A46AD9" w:rsidRDefault="00CD09CA" w:rsidP="00CD09CA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868"/>
      <w:bookmarkEnd w:id="5"/>
      <w:r w:rsidRPr="00A46AD9">
        <w:rPr>
          <w:rFonts w:ascii="Times New Roman" w:hAnsi="Times New Roman"/>
          <w:color w:val="000000"/>
          <w:sz w:val="20"/>
          <w:szCs w:val="20"/>
        </w:rPr>
        <w:t>Перечень территориальных зон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4"/>
        <w:gridCol w:w="1621"/>
        <w:gridCol w:w="7097"/>
      </w:tblGrid>
      <w:tr w:rsidR="00CD09CA" w:rsidRPr="00A46AD9" w:rsidTr="005905AE">
        <w:trPr>
          <w:trHeight w:val="523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</w:t>
            </w:r>
          </w:p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территориальной зоны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Жилые зоны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застройки индивидуальными жилыми домами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Общественно - деловая зона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Общественно- деловая зона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Производственная зона</w:t>
            </w:r>
          </w:p>
        </w:tc>
      </w:tr>
      <w:tr w:rsidR="00CD09CA" w:rsidRPr="00A46AD9" w:rsidTr="005905AE">
        <w:trPr>
          <w:trHeight w:val="3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Производственная зона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Рекреационные зоны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рекреационного назначения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Зоны сельскохозяйственного использования 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садоводства, огородничества и дачного хозяйства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Зоны специального назначения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специального назначения, связанная с захоронениями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транспортной инфраструктуры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Земли, для которых градостроительные регламенты </w:t>
            </w:r>
          </w:p>
          <w:p w:rsidR="00CD09CA" w:rsidRPr="00A46AD9" w:rsidRDefault="00CD09CA" w:rsidP="005905AE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устанавливаются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Сельскохозяйственные </w:t>
            </w:r>
            <w:proofErr w:type="spell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угодия</w:t>
            </w:r>
            <w:proofErr w:type="spellEnd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составе земель сельскохозяйственного назначения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лесного фонда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Земли, покрытые поверхностными водами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ООПТ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особо охраняемых природных территорий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ООТ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объектов культурного наследия</w:t>
            </w:r>
          </w:p>
        </w:tc>
      </w:tr>
      <w:tr w:rsidR="00CD09CA" w:rsidRPr="00A46AD9" w:rsidTr="005905AE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ЗЗ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запаса</w:t>
            </w:r>
          </w:p>
        </w:tc>
      </w:tr>
    </w:tbl>
    <w:p w:rsidR="00CD09CA" w:rsidRPr="00A46AD9" w:rsidRDefault="00CD09CA" w:rsidP="00CD09CA">
      <w:pPr>
        <w:keepNext/>
        <w:widowControl w:val="0"/>
        <w:spacing w:before="360" w:after="60"/>
        <w:ind w:left="709" w:firstLine="567"/>
        <w:contextualSpacing/>
        <w:rPr>
          <w:rFonts w:ascii="Times New Roman" w:hAnsi="Times New Roman"/>
          <w:color w:val="000000"/>
          <w:sz w:val="20"/>
          <w:szCs w:val="20"/>
        </w:rPr>
      </w:pPr>
      <w:bookmarkStart w:id="6" w:name="__RefHeading___Toc442193459"/>
    </w:p>
    <w:p w:rsidR="00CD09CA" w:rsidRPr="00A46AD9" w:rsidRDefault="00CD09CA" w:rsidP="00CD09CA">
      <w:pPr>
        <w:keepNext/>
        <w:widowControl w:val="0"/>
        <w:spacing w:before="360" w:after="60"/>
        <w:ind w:left="709" w:firstLine="567"/>
        <w:contextualSpacing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РАЗДЕЛ </w:t>
      </w: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val="en-US" w:eastAsia="en-US"/>
        </w:rPr>
        <w:t>III</w:t>
      </w: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>. ГРАДОСТРОИТЕЛЬНЫЕ РЕГЛАМЕНТЫ</w:t>
      </w:r>
      <w:bookmarkEnd w:id="6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7" w:name="__RefHeading___Toc442193460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37. Требования градостроительных регламентов</w:t>
      </w:r>
      <w:bookmarkEnd w:id="7"/>
    </w:p>
    <w:p w:rsidR="00CD09CA" w:rsidRPr="00A46AD9" w:rsidRDefault="00CD09CA" w:rsidP="00CD09CA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 и нормативными документами.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Градостроительные регламенты установлены с учётом: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3) функциональных зон и характеристик их планируемого развития, определённых генеральным планом;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4) видов территориальных зон;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CD09CA" w:rsidRPr="00A46AD9" w:rsidRDefault="00CD09CA" w:rsidP="00CD09CA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(за исключением земельных участков на которые действие градостроительного регламента не распространяется), </w:t>
      </w:r>
      <w:r w:rsidRPr="00A46AD9">
        <w:rPr>
          <w:rFonts w:ascii="Times New Roman" w:hAnsi="Times New Roman"/>
          <w:color w:val="000000"/>
          <w:sz w:val="20"/>
          <w:szCs w:val="20"/>
        </w:rPr>
        <w:t>указаны: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- виды разрешенного использования земельных участков и объектов капитального строительства;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- предельные (минимальные и (или) максимальные) площади земельных участков и предельные параметры разрешенного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 Там, где не имеется возможность установления предельных параметров в градостроительном регламенте указано, что такие предельные параметры не подлежат установлению.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Общие требования градостроительного регламента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приведены в статье 22 настоящих Правил;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отображены на карте градостроительного зонирования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настоящих Правил.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Правил.</w:t>
      </w:r>
    </w:p>
    <w:p w:rsidR="00CD09CA" w:rsidRPr="00A46AD9" w:rsidRDefault="00CD09CA" w:rsidP="00CD09CA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5. Земельные участки, на которые действие градостроительного регламента не распространяется (территории объектов культурного наследия, территории общего пользования, предназначенные для размещения линейных объектов и/или занятые линейными объектами) могут располагаться в любой территориальной зоне.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6.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</w:t>
      </w: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>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9.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8" w:name="__RefHeading___Toc442193464"/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38. Градостроительный регламент зоны застройки индивидуальными жилыми домами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(Ж-1)</w:t>
      </w:r>
      <w:bookmarkEnd w:id="8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393"/>
        <w:gridCol w:w="568"/>
        <w:gridCol w:w="1276"/>
        <w:gridCol w:w="709"/>
        <w:gridCol w:w="708"/>
        <w:gridCol w:w="11"/>
      </w:tblGrid>
      <w:tr w:rsidR="00CD09CA" w:rsidRPr="00A46AD9" w:rsidTr="005905AE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CD09CA" w:rsidRPr="00A46AD9" w:rsidTr="005905AE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0,03 - 0,25, в отдельных случаях 0,30 (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п.п</w:t>
            </w:r>
            <w:proofErr w:type="spell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1, 2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(п.4 примечания)</w:t>
            </w:r>
          </w:p>
        </w:tc>
      </w:tr>
      <w:tr w:rsidR="00CD09CA" w:rsidRPr="00A46AD9" w:rsidTr="005905AE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0,06 – 0.40, в отдельных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случаях  0</w:t>
            </w:r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,50 (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п.п</w:t>
            </w:r>
            <w:proofErr w:type="spell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1, 2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приме- 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(п.4 примечания)</w:t>
            </w:r>
          </w:p>
        </w:tc>
      </w:tr>
      <w:tr w:rsidR="00CD09CA" w:rsidRPr="00A46AD9" w:rsidTr="005905AE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Связь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0,01- 0,10 (п.2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0,03- 0,10 (п.2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pacing w:before="120" w:after="120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</w:rPr>
        <w:t>Примечания:</w:t>
      </w:r>
    </w:p>
    <w:p w:rsidR="00CD09CA" w:rsidRPr="00A46AD9" w:rsidRDefault="00CD09CA" w:rsidP="00CD09CA">
      <w:pPr>
        <w:spacing w:before="120" w:after="120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</w:rPr>
      </w:pP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вкрапливания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>, изломанности границ, чересполосицы, вовлечения в оборот неиспользуемых земельных участков</w:t>
      </w:r>
      <w:r w:rsidRPr="00A46AD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максимальная площадь земельного участка может составлять: </w:t>
      </w: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для индивидуального жилищного строительства до 0,30 га (включительно);</w:t>
      </w: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2. Предельные (максимальные и минимальные) размеры земельных участков, предоставляемых гражданам в собственность (за плату или бесплатно), в аренду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</w:rPr>
        <w:t>из земель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</w:rPr>
        <w:t xml:space="preserve">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:rsidR="00CD09CA" w:rsidRPr="00A46AD9" w:rsidRDefault="00CD09CA" w:rsidP="00CD09CA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3. Минимальная ширина земельного участка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</w:rPr>
        <w:t>для  индивидуального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</w:rPr>
        <w:t xml:space="preserve">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CD09CA" w:rsidRPr="00A46AD9" w:rsidRDefault="00CD09CA" w:rsidP="00CD09C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CD09CA" w:rsidRPr="00A46AD9" w:rsidRDefault="00CD09CA" w:rsidP="00CD09CA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5. Требования к ограждениям земельных участков индивидуальных жилых домов:</w:t>
      </w:r>
    </w:p>
    <w:p w:rsidR="00CD09CA" w:rsidRPr="00A46AD9" w:rsidRDefault="00CD09CA" w:rsidP="00CD09CA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ab/>
        <w:t>а) максимальная высота ограждений – 2 метра;</w:t>
      </w:r>
    </w:p>
    <w:p w:rsidR="00CD09CA" w:rsidRPr="00A46AD9" w:rsidRDefault="00CD09CA" w:rsidP="00CD09CA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ab/>
        <w:t>б) ограждение в виде декоративного озеленения – 1,2 м;</w:t>
      </w:r>
    </w:p>
    <w:p w:rsidR="00CD09CA" w:rsidRPr="00A46AD9" w:rsidRDefault="00CD09CA" w:rsidP="00CD09CA">
      <w:pPr>
        <w:spacing w:before="120" w:after="12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6. Высота гаражей – не более 5 метров.</w:t>
      </w: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0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 xml:space="preserve">7. Использование земельных участков и объектов капитального строительства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CD09CA" w:rsidRPr="00A46AD9" w:rsidRDefault="00CD09CA" w:rsidP="00CD09CA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00"/>
        </w:rPr>
      </w:pP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bookmarkStart w:id="9" w:name="__RefHeading___Toc442193472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39. Градостроительный регламент общественно - деловой зоны (О) 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объекты делового, общественного и коммерческого назначения, а также социального и коммунально- бытового назначения.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8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6"/>
        <w:gridCol w:w="856"/>
        <w:gridCol w:w="4388"/>
        <w:gridCol w:w="570"/>
        <w:gridCol w:w="1277"/>
        <w:gridCol w:w="709"/>
        <w:gridCol w:w="716"/>
      </w:tblGrid>
      <w:tr w:rsidR="00CD09CA" w:rsidRPr="00A46AD9" w:rsidTr="005905AE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2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</w:tr>
      <w:tr w:rsidR="00CD09CA" w:rsidRPr="00A46AD9" w:rsidTr="005905AE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мин.0,01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left="567" w:firstLine="142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40. Градостроительный регламент производственной зоны (П) 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объекты производственного и коммунально-складского назначения</w:t>
      </w:r>
      <w:bookmarkEnd w:id="9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.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8"/>
        <w:gridCol w:w="559"/>
        <w:gridCol w:w="1276"/>
        <w:gridCol w:w="708"/>
        <w:gridCol w:w="719"/>
      </w:tblGrid>
      <w:tr w:rsidR="00CD09CA" w:rsidRPr="00A46AD9" w:rsidTr="005905AE">
        <w:trPr>
          <w:cantSplit/>
          <w:trHeight w:val="50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lastRenderedPageBreak/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Предельные размеры </w:t>
            </w:r>
          </w:p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земельных участков </w:t>
            </w:r>
          </w:p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</w:t>
            </w:r>
          </w:p>
          <w:p w:rsidR="00CD09CA" w:rsidRPr="00A46AD9" w:rsidRDefault="00CD09CA" w:rsidP="005905AE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застройки, 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-391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559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мин.0,01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Выставочно</w:t>
            </w:r>
            <w:proofErr w:type="spellEnd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Связь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Недропользование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Лесные плантации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0" w:name="__RefHeading___Toc442193474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41. Градостроительный регламент зоны рекреационного назначения (Р)</w:t>
      </w:r>
      <w:bookmarkEnd w:id="10"/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992"/>
        <w:gridCol w:w="284"/>
        <w:gridCol w:w="567"/>
        <w:gridCol w:w="141"/>
        <w:gridCol w:w="719"/>
      </w:tblGrid>
      <w:tr w:rsidR="00CD09CA" w:rsidRPr="00A46AD9" w:rsidTr="005905AE">
        <w:trPr>
          <w:cantSplit/>
          <w:trHeight w:val="36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3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Охота и рыбалка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. Использование земельных участков и объектов капитального строительства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  <w:bookmarkStart w:id="11" w:name="__RefHeading___Toc442193476"/>
    </w:p>
    <w:p w:rsidR="00CD09CA" w:rsidRPr="00A46AD9" w:rsidRDefault="00CD09CA" w:rsidP="00CD09CA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CD09CA" w:rsidRPr="00A46AD9" w:rsidRDefault="00CD09CA" w:rsidP="00CD09CA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42. Градостроительный регламент зоны сельскохозяйственного использования (СХ-2)</w:t>
      </w:r>
    </w:p>
    <w:p w:rsidR="00CD09CA" w:rsidRPr="00A46AD9" w:rsidRDefault="00CD09CA" w:rsidP="00CD09CA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Зона, занятая объектами сельскохозяйственного назначения </w:t>
      </w:r>
      <w:proofErr w:type="gramStart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и  предназначенная</w:t>
      </w:r>
      <w:proofErr w:type="gramEnd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 для ведения сельского хозяйства, личного подсобного хозяйства</w:t>
      </w:r>
      <w:bookmarkEnd w:id="11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, развития объектов сельскохозяйственного назначения.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993"/>
        <w:gridCol w:w="4395"/>
        <w:gridCol w:w="567"/>
        <w:gridCol w:w="1276"/>
        <w:gridCol w:w="708"/>
        <w:gridCol w:w="861"/>
      </w:tblGrid>
      <w:tr w:rsidR="00CD09CA" w:rsidRPr="00A46AD9" w:rsidTr="005905AE">
        <w:trPr>
          <w:cantSplit/>
          <w:trHeight w:val="41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47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участка, м</w:t>
            </w:r>
          </w:p>
        </w:tc>
      </w:tr>
      <w:tr w:rsidR="00CD09CA" w:rsidRPr="00A46AD9" w:rsidTr="005905AE">
        <w:trPr>
          <w:trHeight w:val="1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autoSpaceDE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Скотоводство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Звероводство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Свиноводство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Пчеловодство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0,02- 1,0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1. Размер полевых участков личных подсобных хозяйств, предоставляемых гражданину в собственность из находящихся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в государственной или муниципальной собственности земель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2" w:name="__RefHeading___Toc442193477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43. Градостроительный регламент зоны садоводческого некоммерческого товарищества, огородничества и дачного хозяйства (СХ-3)</w:t>
      </w:r>
      <w:bookmarkEnd w:id="12"/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CD09CA" w:rsidRPr="00A46AD9" w:rsidTr="005905AE">
        <w:trPr>
          <w:cantSplit/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0,03-0,10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0,05-0,15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1. 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</w:p>
    <w:p w:rsidR="00CD09CA" w:rsidRPr="00A46AD9" w:rsidRDefault="00CD09CA" w:rsidP="00CD09CA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CD09CA" w:rsidRPr="00A46AD9" w:rsidRDefault="00CD09CA" w:rsidP="00CD09CA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CD09CA" w:rsidRPr="00A46AD9" w:rsidRDefault="00CD09CA" w:rsidP="00CD09CA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CD09CA" w:rsidRPr="00A46AD9" w:rsidRDefault="00CD09CA" w:rsidP="00CD09CA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6. На земельных участках, предоставленных для ведения огородничества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7. Высота гаражей на земельных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участках  для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ведения садоводства и дачного хозяйства – до 5 м.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8.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 xml:space="preserve">9.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CD09CA" w:rsidRPr="00A46AD9" w:rsidRDefault="00CD09CA" w:rsidP="00CD09CA">
      <w:pPr>
        <w:snapToGrid w:val="0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3" w:name="__RefHeading___Toc442193478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44. Градостроительный регламент зоны специального назначения (</w:t>
      </w:r>
      <w:proofErr w:type="spellStart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Сп</w:t>
      </w:r>
      <w:proofErr w:type="spellEnd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)</w:t>
      </w:r>
      <w:bookmarkEnd w:id="13"/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"/>
        <w:gridCol w:w="4253"/>
        <w:gridCol w:w="567"/>
        <w:gridCol w:w="1276"/>
        <w:gridCol w:w="708"/>
        <w:gridCol w:w="861"/>
      </w:tblGrid>
      <w:tr w:rsidR="00CD09CA" w:rsidRPr="00A46AD9" w:rsidTr="005905AE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(в соответствии с Классификатором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макс.10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установ-лению</w:t>
            </w:r>
            <w:proofErr w:type="spellEnd"/>
            <w:proofErr w:type="gramEnd"/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tabs>
          <w:tab w:val="left" w:pos="742"/>
          <w:tab w:val="left" w:pos="1080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Размер земельного участка для сельского кладбища не может превышать 10 га.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Использование земельных участков осуществлять в соответствии с требованиями Федерального закона от 12.01.1996 №8 «О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4. Запрещается захоронение отходов в границах населенных пунктов.</w:t>
      </w: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4" w:name="__RefHeading___Toc442193480"/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45. Градостроительный регламент зоны инженерной инфраструктуры (И)</w:t>
      </w:r>
      <w:bookmarkEnd w:id="14"/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CD09CA" w:rsidRPr="00A46AD9" w:rsidTr="005905AE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CD09CA" w:rsidRPr="00A46AD9" w:rsidRDefault="00CD09CA" w:rsidP="00CD09CA">
      <w:pPr>
        <w:snapToGrid w:val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D09CA" w:rsidRPr="00A46AD9" w:rsidRDefault="00CD09CA" w:rsidP="00CD09CA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46. Градостроительный регламент зоны транспортной инфраструктуры (Т)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09CA" w:rsidRPr="00A46AD9" w:rsidRDefault="00CD09CA" w:rsidP="00CD09CA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CD09CA" w:rsidRPr="00A46AD9" w:rsidTr="005905AE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D09CA" w:rsidRPr="00A46AD9" w:rsidTr="005905AE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D09CA" w:rsidRPr="00A46AD9" w:rsidRDefault="00CD09CA" w:rsidP="005905AE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CD09CA" w:rsidRPr="00A46AD9" w:rsidTr="005905AE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Энергетика(</w:t>
            </w:r>
            <w:proofErr w:type="gramEnd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CD09CA" w:rsidRPr="00A46AD9" w:rsidTr="005905AE">
        <w:trPr>
          <w:cantSplit/>
          <w:trHeight w:val="57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CA" w:rsidRPr="00A46AD9" w:rsidRDefault="00CD09CA" w:rsidP="005905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D09CA" w:rsidRPr="00A46AD9" w:rsidTr="005905AE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CD09CA" w:rsidRPr="00A46AD9" w:rsidTr="005905AE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CA" w:rsidRPr="00A46AD9" w:rsidRDefault="00CD09CA" w:rsidP="005905A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09CA" w:rsidRPr="00A46AD9" w:rsidRDefault="00CD09CA" w:rsidP="00CD09CA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F5020D" w:rsidRPr="00CD09CA" w:rsidRDefault="00F5020D" w:rsidP="00CD09CA"/>
    <w:sectPr w:rsidR="00F5020D" w:rsidRPr="00CD09CA" w:rsidSect="00A2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Verdana, 'Helvetica Neue', Helv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 w15:restartNumberingAfterBreak="0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12"/>
    <w:rsid w:val="00AE2612"/>
    <w:rsid w:val="00CD09CA"/>
    <w:rsid w:val="00E45504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05EA-6794-4C65-B144-979018E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CA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9CA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sz w:val="20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CD09CA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D09C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D09C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9CA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CD09C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D09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D09C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List Paragraph"/>
    <w:basedOn w:val="a"/>
    <w:qFormat/>
    <w:rsid w:val="00CD09CA"/>
    <w:pPr>
      <w:ind w:left="720"/>
      <w:contextualSpacing/>
    </w:pPr>
    <w:rPr>
      <w:rFonts w:ascii="Times New Roman" w:hAnsi="Times New Roman"/>
    </w:rPr>
  </w:style>
  <w:style w:type="paragraph" w:customStyle="1" w:styleId="msonormalbullet2gif">
    <w:name w:val="msonormalbullet2.gif"/>
    <w:basedOn w:val="a"/>
    <w:rsid w:val="00CD09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1gif">
    <w:name w:val="msonormalbullet1.gif"/>
    <w:basedOn w:val="a"/>
    <w:rsid w:val="00CD09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Таблицы (моноширинный)"/>
    <w:basedOn w:val="a"/>
    <w:next w:val="a"/>
    <w:rsid w:val="00CD09C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character" w:customStyle="1" w:styleId="a5">
    <w:name w:val="Цветовое выделение"/>
    <w:rsid w:val="00CD09CA"/>
    <w:rPr>
      <w:b/>
      <w:bCs w:val="0"/>
      <w:color w:val="000080"/>
      <w:sz w:val="20"/>
    </w:rPr>
  </w:style>
  <w:style w:type="paragraph" w:styleId="a6">
    <w:name w:val="Balloon Text"/>
    <w:basedOn w:val="a"/>
    <w:link w:val="a7"/>
    <w:unhideWhenUsed/>
    <w:rsid w:val="00CD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CD09CA"/>
    <w:rPr>
      <w:rFonts w:cs="Times New Roman"/>
    </w:rPr>
  </w:style>
  <w:style w:type="character" w:customStyle="1" w:styleId="WW8Num2z0">
    <w:name w:val="WW8Num2z0"/>
    <w:rsid w:val="00CD09CA"/>
    <w:rPr>
      <w:color w:val="auto"/>
    </w:rPr>
  </w:style>
  <w:style w:type="character" w:customStyle="1" w:styleId="WW8Num2z1">
    <w:name w:val="WW8Num2z1"/>
    <w:rsid w:val="00CD09CA"/>
  </w:style>
  <w:style w:type="character" w:customStyle="1" w:styleId="WW8Num2z2">
    <w:name w:val="WW8Num2z2"/>
    <w:rsid w:val="00CD09CA"/>
  </w:style>
  <w:style w:type="character" w:customStyle="1" w:styleId="WW8Num2z3">
    <w:name w:val="WW8Num2z3"/>
    <w:rsid w:val="00CD09CA"/>
  </w:style>
  <w:style w:type="character" w:customStyle="1" w:styleId="WW8Num2z4">
    <w:name w:val="WW8Num2z4"/>
    <w:rsid w:val="00CD09CA"/>
  </w:style>
  <w:style w:type="character" w:customStyle="1" w:styleId="WW8Num2z5">
    <w:name w:val="WW8Num2z5"/>
    <w:rsid w:val="00CD09CA"/>
  </w:style>
  <w:style w:type="character" w:customStyle="1" w:styleId="WW8Num2z6">
    <w:name w:val="WW8Num2z6"/>
    <w:rsid w:val="00CD09CA"/>
  </w:style>
  <w:style w:type="character" w:customStyle="1" w:styleId="WW8Num2z7">
    <w:name w:val="WW8Num2z7"/>
    <w:rsid w:val="00CD09CA"/>
  </w:style>
  <w:style w:type="character" w:customStyle="1" w:styleId="WW8Num2z8">
    <w:name w:val="WW8Num2z8"/>
    <w:rsid w:val="00CD09CA"/>
  </w:style>
  <w:style w:type="character" w:customStyle="1" w:styleId="WW8Num3z0">
    <w:name w:val="WW8Num3z0"/>
    <w:rsid w:val="00CD09CA"/>
    <w:rPr>
      <w:color w:val="auto"/>
    </w:rPr>
  </w:style>
  <w:style w:type="character" w:customStyle="1" w:styleId="WW8Num3z1">
    <w:name w:val="WW8Num3z1"/>
    <w:rsid w:val="00CD09CA"/>
  </w:style>
  <w:style w:type="character" w:customStyle="1" w:styleId="WW8Num3z2">
    <w:name w:val="WW8Num3z2"/>
    <w:rsid w:val="00CD09CA"/>
  </w:style>
  <w:style w:type="character" w:customStyle="1" w:styleId="WW8Num3z3">
    <w:name w:val="WW8Num3z3"/>
    <w:rsid w:val="00CD09CA"/>
  </w:style>
  <w:style w:type="character" w:customStyle="1" w:styleId="WW8Num3z4">
    <w:name w:val="WW8Num3z4"/>
    <w:rsid w:val="00CD09CA"/>
  </w:style>
  <w:style w:type="character" w:customStyle="1" w:styleId="WW8Num3z5">
    <w:name w:val="WW8Num3z5"/>
    <w:rsid w:val="00CD09CA"/>
  </w:style>
  <w:style w:type="character" w:customStyle="1" w:styleId="WW8Num3z6">
    <w:name w:val="WW8Num3z6"/>
    <w:rsid w:val="00CD09CA"/>
  </w:style>
  <w:style w:type="character" w:customStyle="1" w:styleId="WW8Num3z7">
    <w:name w:val="WW8Num3z7"/>
    <w:rsid w:val="00CD09CA"/>
  </w:style>
  <w:style w:type="character" w:customStyle="1" w:styleId="WW8Num3z8">
    <w:name w:val="WW8Num3z8"/>
    <w:rsid w:val="00CD09CA"/>
  </w:style>
  <w:style w:type="character" w:customStyle="1" w:styleId="WW8Num4z0">
    <w:name w:val="WW8Num4z0"/>
    <w:rsid w:val="00CD09CA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CD09CA"/>
    <w:rPr>
      <w:rFonts w:cs="Times New Roman"/>
    </w:rPr>
  </w:style>
  <w:style w:type="character" w:customStyle="1" w:styleId="WW8Num5z0">
    <w:name w:val="WW8Num5z0"/>
    <w:rsid w:val="00CD09CA"/>
    <w:rPr>
      <w:rFonts w:cs="Times New Roman"/>
    </w:rPr>
  </w:style>
  <w:style w:type="character" w:customStyle="1" w:styleId="WW8Num6z0">
    <w:name w:val="WW8Num6z0"/>
    <w:rsid w:val="00CD09CA"/>
    <w:rPr>
      <w:rFonts w:cs="Times New Roman"/>
    </w:rPr>
  </w:style>
  <w:style w:type="character" w:customStyle="1" w:styleId="WW8Num6z3">
    <w:name w:val="WW8Num6z3"/>
    <w:rsid w:val="00CD09CA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CD09CA"/>
    <w:rPr>
      <w:rFonts w:cs="Times New Roman"/>
    </w:rPr>
  </w:style>
  <w:style w:type="character" w:customStyle="1" w:styleId="WW8Num8z0">
    <w:name w:val="WW8Num8z0"/>
    <w:rsid w:val="00CD09CA"/>
    <w:rPr>
      <w:rFonts w:cs="Times New Roman"/>
    </w:rPr>
  </w:style>
  <w:style w:type="character" w:customStyle="1" w:styleId="WW8Num9z0">
    <w:name w:val="WW8Num9z0"/>
    <w:rsid w:val="00CD09CA"/>
    <w:rPr>
      <w:rFonts w:ascii="Symbol" w:hAnsi="Symbol" w:cs="Symbol"/>
    </w:rPr>
  </w:style>
  <w:style w:type="character" w:customStyle="1" w:styleId="WW8Num9z1">
    <w:name w:val="WW8Num9z1"/>
    <w:rsid w:val="00CD09CA"/>
    <w:rPr>
      <w:rFonts w:ascii="Courier New" w:hAnsi="Courier New" w:cs="Courier New"/>
    </w:rPr>
  </w:style>
  <w:style w:type="character" w:customStyle="1" w:styleId="WW8Num9z2">
    <w:name w:val="WW8Num9z2"/>
    <w:rsid w:val="00CD09CA"/>
    <w:rPr>
      <w:rFonts w:ascii="Wingdings" w:hAnsi="Wingdings" w:cs="Wingdings"/>
    </w:rPr>
  </w:style>
  <w:style w:type="character" w:customStyle="1" w:styleId="WW8Num10z0">
    <w:name w:val="WW8Num10z0"/>
    <w:rsid w:val="00CD09CA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CD09CA"/>
    <w:rPr>
      <w:rFonts w:cs="Times New Roman"/>
    </w:rPr>
  </w:style>
  <w:style w:type="character" w:customStyle="1" w:styleId="WW8Num11z0">
    <w:name w:val="WW8Num11z0"/>
    <w:rsid w:val="00CD09CA"/>
    <w:rPr>
      <w:rFonts w:cs="Times New Roman"/>
      <w:sz w:val="20"/>
      <w:szCs w:val="20"/>
    </w:rPr>
  </w:style>
  <w:style w:type="character" w:customStyle="1" w:styleId="WW8Num11z1">
    <w:name w:val="WW8Num11z1"/>
    <w:rsid w:val="00CD09CA"/>
    <w:rPr>
      <w:rFonts w:ascii="Vrinda" w:hAnsi="Vrinda" w:cs="Vrinda"/>
      <w:color w:val="auto"/>
    </w:rPr>
  </w:style>
  <w:style w:type="character" w:customStyle="1" w:styleId="WW8Num11z2">
    <w:name w:val="WW8Num11z2"/>
    <w:rsid w:val="00CD09CA"/>
    <w:rPr>
      <w:rFonts w:cs="Times New Roman"/>
    </w:rPr>
  </w:style>
  <w:style w:type="character" w:customStyle="1" w:styleId="WW8Num12z0">
    <w:name w:val="WW8Num12z0"/>
    <w:rsid w:val="00CD09CA"/>
    <w:rPr>
      <w:rFonts w:cs="Times New Roman"/>
    </w:rPr>
  </w:style>
  <w:style w:type="character" w:customStyle="1" w:styleId="WW8Num12z1">
    <w:name w:val="WW8Num12z1"/>
    <w:rsid w:val="00CD09CA"/>
    <w:rPr>
      <w:rFonts w:ascii="Vrinda" w:hAnsi="Vrinda" w:cs="Vrinda"/>
      <w:color w:val="auto"/>
    </w:rPr>
  </w:style>
  <w:style w:type="character" w:customStyle="1" w:styleId="WW8Num13z0">
    <w:name w:val="WW8Num13z0"/>
    <w:rsid w:val="00CD09CA"/>
    <w:rPr>
      <w:rFonts w:cs="Times New Roman"/>
    </w:rPr>
  </w:style>
  <w:style w:type="character" w:customStyle="1" w:styleId="WW8Num14z0">
    <w:name w:val="WW8Num14z0"/>
    <w:rsid w:val="00CD09CA"/>
    <w:rPr>
      <w:rFonts w:cs="Times New Roman"/>
    </w:rPr>
  </w:style>
  <w:style w:type="character" w:customStyle="1" w:styleId="WW8Num15z0">
    <w:name w:val="WW8Num15z0"/>
    <w:rsid w:val="00CD09CA"/>
    <w:rPr>
      <w:rFonts w:cs="Times New Roman"/>
    </w:rPr>
  </w:style>
  <w:style w:type="character" w:customStyle="1" w:styleId="WW8Num15z1">
    <w:name w:val="WW8Num15z1"/>
    <w:rsid w:val="00CD09CA"/>
    <w:rPr>
      <w:rFonts w:ascii="Vrinda" w:hAnsi="Vrinda" w:cs="Vrinda"/>
      <w:color w:val="auto"/>
    </w:rPr>
  </w:style>
  <w:style w:type="character" w:customStyle="1" w:styleId="WW8Num16z0">
    <w:name w:val="WW8Num16z0"/>
    <w:rsid w:val="00CD09CA"/>
    <w:rPr>
      <w:rFonts w:cs="Times New Roman"/>
    </w:rPr>
  </w:style>
  <w:style w:type="character" w:customStyle="1" w:styleId="WW8Num17z0">
    <w:name w:val="WW8Num17z0"/>
    <w:rsid w:val="00CD09CA"/>
    <w:rPr>
      <w:rFonts w:cs="Times New Roman"/>
    </w:rPr>
  </w:style>
  <w:style w:type="character" w:customStyle="1" w:styleId="WW8Num18z0">
    <w:name w:val="WW8Num18z0"/>
    <w:rsid w:val="00CD09CA"/>
    <w:rPr>
      <w:color w:val="auto"/>
    </w:rPr>
  </w:style>
  <w:style w:type="character" w:customStyle="1" w:styleId="WW8Num18z1">
    <w:name w:val="WW8Num18z1"/>
    <w:rsid w:val="00CD09CA"/>
  </w:style>
  <w:style w:type="character" w:customStyle="1" w:styleId="WW8Num18z2">
    <w:name w:val="WW8Num18z2"/>
    <w:rsid w:val="00CD09CA"/>
  </w:style>
  <w:style w:type="character" w:customStyle="1" w:styleId="WW8Num18z3">
    <w:name w:val="WW8Num18z3"/>
    <w:rsid w:val="00CD09CA"/>
  </w:style>
  <w:style w:type="character" w:customStyle="1" w:styleId="WW8Num18z4">
    <w:name w:val="WW8Num18z4"/>
    <w:rsid w:val="00CD09CA"/>
  </w:style>
  <w:style w:type="character" w:customStyle="1" w:styleId="WW8Num18z5">
    <w:name w:val="WW8Num18z5"/>
    <w:rsid w:val="00CD09CA"/>
  </w:style>
  <w:style w:type="character" w:customStyle="1" w:styleId="WW8Num18z6">
    <w:name w:val="WW8Num18z6"/>
    <w:rsid w:val="00CD09CA"/>
  </w:style>
  <w:style w:type="character" w:customStyle="1" w:styleId="WW8Num18z7">
    <w:name w:val="WW8Num18z7"/>
    <w:rsid w:val="00CD09CA"/>
  </w:style>
  <w:style w:type="character" w:customStyle="1" w:styleId="WW8Num18z8">
    <w:name w:val="WW8Num18z8"/>
    <w:rsid w:val="00CD09CA"/>
  </w:style>
  <w:style w:type="character" w:customStyle="1" w:styleId="WW8Num19z0">
    <w:name w:val="WW8Num19z0"/>
    <w:rsid w:val="00CD09CA"/>
    <w:rPr>
      <w:rFonts w:cs="Times New Roman"/>
    </w:rPr>
  </w:style>
  <w:style w:type="character" w:customStyle="1" w:styleId="WW8Num20z0">
    <w:name w:val="WW8Num20z0"/>
    <w:rsid w:val="00CD09CA"/>
    <w:rPr>
      <w:rFonts w:cs="Times New Roman"/>
    </w:rPr>
  </w:style>
  <w:style w:type="character" w:customStyle="1" w:styleId="WW8Num21z0">
    <w:name w:val="WW8Num21z0"/>
    <w:rsid w:val="00CD09CA"/>
    <w:rPr>
      <w:rFonts w:cs="Times New Roman"/>
      <w:sz w:val="20"/>
      <w:szCs w:val="20"/>
    </w:rPr>
  </w:style>
  <w:style w:type="character" w:customStyle="1" w:styleId="WW8Num21z1">
    <w:name w:val="WW8Num21z1"/>
    <w:rsid w:val="00CD09CA"/>
    <w:rPr>
      <w:rFonts w:ascii="Vrinda" w:hAnsi="Vrinda" w:cs="Vrinda"/>
      <w:color w:val="auto"/>
    </w:rPr>
  </w:style>
  <w:style w:type="character" w:customStyle="1" w:styleId="WW8Num21z2">
    <w:name w:val="WW8Num21z2"/>
    <w:rsid w:val="00CD09CA"/>
    <w:rPr>
      <w:rFonts w:cs="Times New Roman"/>
    </w:rPr>
  </w:style>
  <w:style w:type="character" w:customStyle="1" w:styleId="WW8Num22z0">
    <w:name w:val="WW8Num22z0"/>
    <w:rsid w:val="00CD09CA"/>
  </w:style>
  <w:style w:type="character" w:customStyle="1" w:styleId="WW8Num22z1">
    <w:name w:val="WW8Num22z1"/>
    <w:rsid w:val="00CD09CA"/>
  </w:style>
  <w:style w:type="character" w:customStyle="1" w:styleId="WW8Num22z2">
    <w:name w:val="WW8Num22z2"/>
    <w:rsid w:val="00CD09CA"/>
  </w:style>
  <w:style w:type="character" w:customStyle="1" w:styleId="WW8Num22z3">
    <w:name w:val="WW8Num22z3"/>
    <w:rsid w:val="00CD09CA"/>
  </w:style>
  <w:style w:type="character" w:customStyle="1" w:styleId="WW8Num22z4">
    <w:name w:val="WW8Num22z4"/>
    <w:rsid w:val="00CD09CA"/>
  </w:style>
  <w:style w:type="character" w:customStyle="1" w:styleId="WW8Num22z5">
    <w:name w:val="WW8Num22z5"/>
    <w:rsid w:val="00CD09CA"/>
  </w:style>
  <w:style w:type="character" w:customStyle="1" w:styleId="WW8Num22z6">
    <w:name w:val="WW8Num22z6"/>
    <w:rsid w:val="00CD09CA"/>
  </w:style>
  <w:style w:type="character" w:customStyle="1" w:styleId="WW8Num22z7">
    <w:name w:val="WW8Num22z7"/>
    <w:rsid w:val="00CD09CA"/>
  </w:style>
  <w:style w:type="character" w:customStyle="1" w:styleId="WW8Num22z8">
    <w:name w:val="WW8Num22z8"/>
    <w:rsid w:val="00CD09CA"/>
  </w:style>
  <w:style w:type="character" w:customStyle="1" w:styleId="WW8Num23z0">
    <w:name w:val="WW8Num23z0"/>
    <w:rsid w:val="00CD09CA"/>
    <w:rPr>
      <w:rFonts w:cs="Times New Roman"/>
    </w:rPr>
  </w:style>
  <w:style w:type="character" w:customStyle="1" w:styleId="WW8Num24z0">
    <w:name w:val="WW8Num24z0"/>
    <w:rsid w:val="00CD09CA"/>
    <w:rPr>
      <w:rFonts w:cs="Times New Roman"/>
    </w:rPr>
  </w:style>
  <w:style w:type="character" w:customStyle="1" w:styleId="WW8Num25z0">
    <w:name w:val="WW8Num25z0"/>
    <w:rsid w:val="00CD09CA"/>
  </w:style>
  <w:style w:type="character" w:customStyle="1" w:styleId="WW8Num25z1">
    <w:name w:val="WW8Num25z1"/>
    <w:rsid w:val="00CD09CA"/>
  </w:style>
  <w:style w:type="character" w:customStyle="1" w:styleId="WW8Num25z2">
    <w:name w:val="WW8Num25z2"/>
    <w:rsid w:val="00CD09CA"/>
  </w:style>
  <w:style w:type="character" w:customStyle="1" w:styleId="WW8Num25z3">
    <w:name w:val="WW8Num25z3"/>
    <w:rsid w:val="00CD09CA"/>
  </w:style>
  <w:style w:type="character" w:customStyle="1" w:styleId="WW8Num25z4">
    <w:name w:val="WW8Num25z4"/>
    <w:rsid w:val="00CD09CA"/>
  </w:style>
  <w:style w:type="character" w:customStyle="1" w:styleId="WW8Num25z5">
    <w:name w:val="WW8Num25z5"/>
    <w:rsid w:val="00CD09CA"/>
  </w:style>
  <w:style w:type="character" w:customStyle="1" w:styleId="WW8Num25z6">
    <w:name w:val="WW8Num25z6"/>
    <w:rsid w:val="00CD09CA"/>
  </w:style>
  <w:style w:type="character" w:customStyle="1" w:styleId="WW8Num25z7">
    <w:name w:val="WW8Num25z7"/>
    <w:rsid w:val="00CD09CA"/>
  </w:style>
  <w:style w:type="character" w:customStyle="1" w:styleId="WW8Num25z8">
    <w:name w:val="WW8Num25z8"/>
    <w:rsid w:val="00CD09CA"/>
  </w:style>
  <w:style w:type="character" w:customStyle="1" w:styleId="11">
    <w:name w:val="Основной шрифт абзаца1"/>
    <w:rsid w:val="00CD09CA"/>
  </w:style>
  <w:style w:type="character" w:customStyle="1" w:styleId="a8">
    <w:name w:val="Основной текст Знак"/>
    <w:rsid w:val="00CD09CA"/>
    <w:rPr>
      <w:sz w:val="24"/>
    </w:rPr>
  </w:style>
  <w:style w:type="character" w:customStyle="1" w:styleId="a9">
    <w:name w:val="Основной текст с отступом Знак"/>
    <w:rsid w:val="00CD09CA"/>
    <w:rPr>
      <w:sz w:val="26"/>
    </w:rPr>
  </w:style>
  <w:style w:type="character" w:customStyle="1" w:styleId="21">
    <w:name w:val="Основной текст с отступом 2 Знак"/>
    <w:rsid w:val="00CD09CA"/>
    <w:rPr>
      <w:sz w:val="24"/>
    </w:rPr>
  </w:style>
  <w:style w:type="character" w:customStyle="1" w:styleId="aa">
    <w:name w:val="Гипертекстовая ссылка"/>
    <w:rsid w:val="00CD09CA"/>
    <w:rPr>
      <w:b/>
      <w:color w:val="008000"/>
      <w:sz w:val="16"/>
    </w:rPr>
  </w:style>
  <w:style w:type="character" w:styleId="ab">
    <w:name w:val="Hyperlink"/>
    <w:rsid w:val="00CD09CA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rsid w:val="00CD09CA"/>
    <w:rPr>
      <w:sz w:val="28"/>
    </w:rPr>
  </w:style>
  <w:style w:type="character" w:customStyle="1" w:styleId="ad">
    <w:name w:val="Нижний колонтитул Знак"/>
    <w:rsid w:val="00CD09CA"/>
    <w:rPr>
      <w:sz w:val="24"/>
    </w:rPr>
  </w:style>
  <w:style w:type="character" w:styleId="ae">
    <w:name w:val="page number"/>
    <w:rsid w:val="00CD09CA"/>
    <w:rPr>
      <w:rFonts w:cs="Times New Roman"/>
    </w:rPr>
  </w:style>
  <w:style w:type="character" w:customStyle="1" w:styleId="af">
    <w:name w:val="Схема документа Знак"/>
    <w:rsid w:val="00CD09CA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CD09CA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CD09CA"/>
    <w:rPr>
      <w:rFonts w:ascii="Tahoma" w:hAnsi="Tahoma" w:cs="Tahoma"/>
      <w:sz w:val="16"/>
    </w:rPr>
  </w:style>
  <w:style w:type="character" w:customStyle="1" w:styleId="HTML">
    <w:name w:val="Стандартный HTML Знак"/>
    <w:rsid w:val="00CD09CA"/>
    <w:rPr>
      <w:rFonts w:ascii="Courier New" w:hAnsi="Courier New" w:cs="Courier New"/>
    </w:rPr>
  </w:style>
  <w:style w:type="character" w:customStyle="1" w:styleId="num">
    <w:name w:val="num"/>
    <w:rsid w:val="00CD09CA"/>
  </w:style>
  <w:style w:type="character" w:customStyle="1" w:styleId="S">
    <w:name w:val="S_Обычный Знак"/>
    <w:rsid w:val="00CD09CA"/>
    <w:rPr>
      <w:color w:val="000000"/>
      <w:sz w:val="24"/>
      <w:lang w:bidi="ar-SA"/>
    </w:rPr>
  </w:style>
  <w:style w:type="character" w:customStyle="1" w:styleId="13">
    <w:name w:val="Знак примечания1"/>
    <w:rsid w:val="00CD09CA"/>
    <w:rPr>
      <w:rFonts w:cs="Times New Roman"/>
      <w:sz w:val="16"/>
    </w:rPr>
  </w:style>
  <w:style w:type="character" w:customStyle="1" w:styleId="af0">
    <w:name w:val="Текст примечания Знак"/>
    <w:rsid w:val="00CD09CA"/>
    <w:rPr>
      <w:lang w:bidi="ar-SA"/>
    </w:rPr>
  </w:style>
  <w:style w:type="character" w:customStyle="1" w:styleId="af1">
    <w:name w:val="Тема примечания Знак"/>
    <w:rsid w:val="00CD09CA"/>
    <w:rPr>
      <w:b/>
      <w:lang w:bidi="ar-SA"/>
    </w:rPr>
  </w:style>
  <w:style w:type="character" w:customStyle="1" w:styleId="af2">
    <w:name w:val="Текст сноски Знак"/>
    <w:rsid w:val="00CD09CA"/>
    <w:rPr>
      <w:lang w:bidi="ar-SA"/>
    </w:rPr>
  </w:style>
  <w:style w:type="character" w:customStyle="1" w:styleId="af3">
    <w:name w:val="Символ сноски"/>
    <w:rsid w:val="00CD09CA"/>
    <w:rPr>
      <w:rFonts w:cs="Times New Roman"/>
      <w:vertAlign w:val="superscript"/>
    </w:rPr>
  </w:style>
  <w:style w:type="character" w:customStyle="1" w:styleId="af4">
    <w:name w:val="Абзац Знак"/>
    <w:rsid w:val="00CD09CA"/>
    <w:rPr>
      <w:sz w:val="24"/>
    </w:rPr>
  </w:style>
  <w:style w:type="character" w:customStyle="1" w:styleId="af5">
    <w:name w:val="Утратил силу"/>
    <w:rsid w:val="00CD09CA"/>
    <w:rPr>
      <w:strike/>
      <w:color w:val="666600"/>
    </w:rPr>
  </w:style>
  <w:style w:type="paragraph" w:customStyle="1" w:styleId="af6">
    <w:name w:val="Заголовок"/>
    <w:basedOn w:val="a"/>
    <w:next w:val="af7"/>
    <w:rsid w:val="00CD09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7">
    <w:name w:val="Body Text"/>
    <w:basedOn w:val="a"/>
    <w:link w:val="14"/>
    <w:rsid w:val="00CD09CA"/>
    <w:pPr>
      <w:suppressAutoHyphens/>
      <w:jc w:val="both"/>
    </w:pPr>
    <w:rPr>
      <w:rFonts w:ascii="Times New Roman" w:hAnsi="Times New Roman"/>
      <w:lang w:eastAsia="zh-CN"/>
    </w:rPr>
  </w:style>
  <w:style w:type="character" w:customStyle="1" w:styleId="14">
    <w:name w:val="Основной текст Знак1"/>
    <w:basedOn w:val="a0"/>
    <w:link w:val="af7"/>
    <w:rsid w:val="00CD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7"/>
    <w:rsid w:val="00CD09CA"/>
    <w:rPr>
      <w:rFonts w:cs="Arial"/>
    </w:rPr>
  </w:style>
  <w:style w:type="paragraph" w:styleId="af9">
    <w:name w:val="caption"/>
    <w:basedOn w:val="a"/>
    <w:qFormat/>
    <w:rsid w:val="00CD09CA"/>
    <w:pPr>
      <w:suppressLineNumbers/>
      <w:suppressAutoHyphens/>
      <w:spacing w:before="120" w:after="120"/>
    </w:pPr>
    <w:rPr>
      <w:rFonts w:ascii="Times New Roman" w:hAnsi="Times New Roman" w:cs="Arial"/>
      <w:i/>
      <w:iCs/>
      <w:lang w:eastAsia="zh-CN"/>
    </w:rPr>
  </w:style>
  <w:style w:type="paragraph" w:customStyle="1" w:styleId="15">
    <w:name w:val="Указатель1"/>
    <w:basedOn w:val="a"/>
    <w:rsid w:val="00CD09CA"/>
    <w:pPr>
      <w:suppressLineNumbers/>
      <w:suppressAutoHyphens/>
    </w:pPr>
    <w:rPr>
      <w:rFonts w:ascii="Times New Roman" w:hAnsi="Times New Roman" w:cs="Arial"/>
      <w:lang w:eastAsia="zh-CN"/>
    </w:rPr>
  </w:style>
  <w:style w:type="paragraph" w:styleId="afa">
    <w:name w:val="Body Text Indent"/>
    <w:basedOn w:val="a"/>
    <w:link w:val="16"/>
    <w:rsid w:val="00CD09CA"/>
    <w:pPr>
      <w:suppressAutoHyphens/>
      <w:ind w:firstLine="708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CD09C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CD09CA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ConsNormal">
    <w:name w:val="ConsNormal"/>
    <w:rsid w:val="00CD09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b">
    <w:name w:val="Заголовок статьи"/>
    <w:basedOn w:val="a"/>
    <w:next w:val="a"/>
    <w:rsid w:val="00CD09CA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c">
    <w:name w:val="header"/>
    <w:basedOn w:val="a"/>
    <w:link w:val="17"/>
    <w:rsid w:val="00CD09CA"/>
    <w:pPr>
      <w:suppressAutoHyphens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17">
    <w:name w:val="Верхний колонтитул Знак1"/>
    <w:basedOn w:val="a0"/>
    <w:link w:val="afc"/>
    <w:rsid w:val="00CD09C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CD09CA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afd">
    <w:name w:val="Комментарий"/>
    <w:basedOn w:val="a"/>
    <w:next w:val="a"/>
    <w:rsid w:val="00CD09CA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e">
    <w:name w:val="Информация об изменениях документа"/>
    <w:basedOn w:val="afd"/>
    <w:next w:val="a"/>
    <w:rsid w:val="00CD09CA"/>
    <w:rPr>
      <w:i/>
      <w:iCs/>
    </w:rPr>
  </w:style>
  <w:style w:type="paragraph" w:styleId="aff">
    <w:name w:val="footer"/>
    <w:basedOn w:val="a"/>
    <w:link w:val="18"/>
    <w:rsid w:val="00CD09CA"/>
    <w:pPr>
      <w:suppressAutoHyphens/>
    </w:pPr>
    <w:rPr>
      <w:rFonts w:ascii="Times New Roman" w:hAnsi="Times New Roman"/>
      <w:lang w:eastAsia="zh-CN"/>
    </w:rPr>
  </w:style>
  <w:style w:type="character" w:customStyle="1" w:styleId="18">
    <w:name w:val="Нижний колонтитул Знак1"/>
    <w:basedOn w:val="a0"/>
    <w:link w:val="aff"/>
    <w:rsid w:val="00CD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D09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0">
    <w:name w:val="toa heading"/>
    <w:basedOn w:val="1"/>
    <w:next w:val="a"/>
    <w:rsid w:val="00CD09CA"/>
    <w:pPr>
      <w:keepLines/>
      <w:tabs>
        <w:tab w:val="clear" w:pos="432"/>
      </w:tabs>
      <w:spacing w:before="240" w:line="256" w:lineRule="auto"/>
      <w:ind w:left="0" w:firstLine="0"/>
      <w:jc w:val="left"/>
      <w:outlineLvl w:val="9"/>
    </w:pPr>
    <w:rPr>
      <w:rFonts w:ascii="Calibri Light" w:hAnsi="Calibri Light" w:cs="Calibri Light"/>
      <w:color w:val="2E74B5"/>
      <w:sz w:val="32"/>
      <w:szCs w:val="32"/>
      <w:u w:val="none"/>
    </w:rPr>
  </w:style>
  <w:style w:type="paragraph" w:styleId="22">
    <w:name w:val="toc 2"/>
    <w:basedOn w:val="a"/>
    <w:next w:val="a"/>
    <w:rsid w:val="00CD09CA"/>
    <w:pPr>
      <w:suppressAutoHyphens/>
      <w:snapToGrid w:val="0"/>
      <w:spacing w:after="100"/>
      <w:ind w:left="220"/>
    </w:pPr>
    <w:rPr>
      <w:rFonts w:ascii="Times New Roman" w:hAnsi="Times New Roman"/>
      <w:sz w:val="22"/>
      <w:szCs w:val="22"/>
      <w:lang w:eastAsia="zh-CN"/>
    </w:rPr>
  </w:style>
  <w:style w:type="paragraph" w:styleId="19">
    <w:name w:val="toc 1"/>
    <w:basedOn w:val="a"/>
    <w:next w:val="a"/>
    <w:rsid w:val="00CD09CA"/>
    <w:pPr>
      <w:suppressAutoHyphens/>
      <w:snapToGrid w:val="0"/>
      <w:spacing w:after="100"/>
    </w:pPr>
    <w:rPr>
      <w:rFonts w:ascii="Times New Roman" w:hAnsi="Times New Roman"/>
      <w:sz w:val="22"/>
      <w:szCs w:val="22"/>
      <w:lang w:eastAsia="zh-CN"/>
    </w:rPr>
  </w:style>
  <w:style w:type="paragraph" w:styleId="31">
    <w:name w:val="toc 3"/>
    <w:basedOn w:val="a"/>
    <w:next w:val="a"/>
    <w:rsid w:val="00CD09CA"/>
    <w:pPr>
      <w:suppressAutoHyphens/>
      <w:snapToGrid w:val="0"/>
      <w:spacing w:after="100"/>
      <w:ind w:left="440"/>
    </w:pPr>
    <w:rPr>
      <w:rFonts w:ascii="Times New Roman" w:hAnsi="Times New Roman"/>
      <w:sz w:val="22"/>
      <w:szCs w:val="22"/>
      <w:lang w:eastAsia="zh-CN"/>
    </w:rPr>
  </w:style>
  <w:style w:type="paragraph" w:customStyle="1" w:styleId="1a">
    <w:name w:val="Схема документа1"/>
    <w:basedOn w:val="a"/>
    <w:rsid w:val="00CD09C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D09C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CD09C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rmal (Web)"/>
    <w:basedOn w:val="a"/>
    <w:rsid w:val="00CD09CA"/>
    <w:pPr>
      <w:suppressAutoHyphens/>
      <w:spacing w:before="100" w:after="100"/>
    </w:pPr>
    <w:rPr>
      <w:rFonts w:ascii="Times New Roman" w:hAnsi="Times New Roman"/>
      <w:lang w:eastAsia="zh-CN"/>
    </w:rPr>
  </w:style>
  <w:style w:type="paragraph" w:customStyle="1" w:styleId="ConsPlusDocList">
    <w:name w:val="ConsPlusDocList"/>
    <w:next w:val="a"/>
    <w:rsid w:val="00CD0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next w:val="a"/>
    <w:rsid w:val="00CD0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DocList1">
    <w:name w:val="ConsPlusDocList1"/>
    <w:next w:val="a"/>
    <w:rsid w:val="00CD0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CD0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0">
    <w:name w:val="S_Обычный"/>
    <w:basedOn w:val="a"/>
    <w:rsid w:val="00CD09CA"/>
    <w:pPr>
      <w:suppressAutoHyphens/>
      <w:spacing w:before="120" w:line="360" w:lineRule="auto"/>
      <w:ind w:firstLine="709"/>
      <w:jc w:val="both"/>
    </w:pPr>
    <w:rPr>
      <w:rFonts w:ascii="Times New Roman" w:hAnsi="Times New Roman"/>
      <w:color w:val="000000"/>
      <w:szCs w:val="20"/>
      <w:lang w:eastAsia="zh-CN"/>
    </w:rPr>
  </w:style>
  <w:style w:type="paragraph" w:customStyle="1" w:styleId="s1">
    <w:name w:val="s_1"/>
    <w:basedOn w:val="a"/>
    <w:rsid w:val="00CD09CA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1b">
    <w:name w:val="Название объекта1"/>
    <w:basedOn w:val="a"/>
    <w:next w:val="a"/>
    <w:rsid w:val="00CD09CA"/>
    <w:pPr>
      <w:suppressAutoHyphens/>
      <w:spacing w:before="120" w:after="12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rsid w:val="00CD09CA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CD09CA"/>
    <w:pPr>
      <w:suppressAutoHyphens/>
      <w:spacing w:before="120" w:after="60"/>
      <w:ind w:firstLine="567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CD09CA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paragraph" w:styleId="aff2">
    <w:name w:val="annotation text"/>
    <w:basedOn w:val="a"/>
    <w:link w:val="1d"/>
    <w:uiPriority w:val="99"/>
    <w:semiHidden/>
    <w:unhideWhenUsed/>
    <w:rsid w:val="00CD09CA"/>
    <w:rPr>
      <w:sz w:val="20"/>
      <w:szCs w:val="20"/>
    </w:rPr>
  </w:style>
  <w:style w:type="character" w:customStyle="1" w:styleId="1d">
    <w:name w:val="Текст примечания Знак1"/>
    <w:basedOn w:val="a0"/>
    <w:link w:val="aff2"/>
    <w:uiPriority w:val="99"/>
    <w:semiHidden/>
    <w:rsid w:val="00CD09CA"/>
    <w:rPr>
      <w:rFonts w:ascii="TimesET" w:eastAsia="Times New Roman" w:hAnsi="TimesET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1e"/>
    <w:rsid w:val="00CD09CA"/>
    <w:rPr>
      <w:b/>
      <w:bCs/>
    </w:rPr>
  </w:style>
  <w:style w:type="character" w:customStyle="1" w:styleId="1e">
    <w:name w:val="Тема примечания Знак1"/>
    <w:basedOn w:val="1d"/>
    <w:link w:val="aff3"/>
    <w:rsid w:val="00CD09C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Nonformat">
    <w:name w:val="ConsNonformat"/>
    <w:rsid w:val="00CD09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4">
    <w:name w:val="footnote text"/>
    <w:basedOn w:val="a"/>
    <w:link w:val="1f"/>
    <w:rsid w:val="00CD09CA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4"/>
    <w:rsid w:val="00CD09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No Spacing"/>
    <w:qFormat/>
    <w:rsid w:val="00CD09C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f6">
    <w:name w:val="Абзац"/>
    <w:basedOn w:val="a"/>
    <w:rsid w:val="00CD09CA"/>
    <w:pPr>
      <w:suppressAutoHyphens/>
      <w:spacing w:line="360" w:lineRule="auto"/>
      <w:ind w:firstLine="567"/>
      <w:jc w:val="both"/>
    </w:pPr>
    <w:rPr>
      <w:rFonts w:ascii="Times New Roman" w:hAnsi="Times New Roman"/>
      <w:szCs w:val="20"/>
      <w:lang w:eastAsia="zh-CN"/>
    </w:rPr>
  </w:style>
  <w:style w:type="paragraph" w:customStyle="1" w:styleId="1f0">
    <w:name w:val="Стиль1"/>
    <w:basedOn w:val="a"/>
    <w:rsid w:val="00CD09CA"/>
    <w:pPr>
      <w:suppressAutoHyphens/>
      <w:spacing w:line="276" w:lineRule="auto"/>
      <w:ind w:left="-57" w:right="-57" w:firstLine="709"/>
      <w:jc w:val="both"/>
    </w:pPr>
    <w:rPr>
      <w:rFonts w:ascii="Times New Roman" w:hAnsi="Times New Roman"/>
      <w:spacing w:val="-10"/>
      <w:lang w:eastAsia="zh-CN"/>
    </w:rPr>
  </w:style>
  <w:style w:type="paragraph" w:customStyle="1" w:styleId="formattext">
    <w:name w:val="formattext"/>
    <w:basedOn w:val="a"/>
    <w:rsid w:val="00CD09CA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aff7">
    <w:name w:val="Нормальный (таблица)"/>
    <w:basedOn w:val="a"/>
    <w:next w:val="a"/>
    <w:rsid w:val="00CD09C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8">
    <w:name w:val="Прижатый влево"/>
    <w:basedOn w:val="a"/>
    <w:next w:val="a"/>
    <w:rsid w:val="00CD09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rsid w:val="00CD09CA"/>
    <w:pPr>
      <w:suppressAutoHyphens/>
      <w:spacing w:after="100" w:line="256" w:lineRule="auto"/>
      <w:ind w:left="660"/>
    </w:pPr>
    <w:rPr>
      <w:rFonts w:ascii="Calibri" w:hAnsi="Calibri" w:cs="Calibri"/>
      <w:sz w:val="22"/>
      <w:szCs w:val="22"/>
      <w:lang w:eastAsia="zh-CN"/>
    </w:rPr>
  </w:style>
  <w:style w:type="paragraph" w:styleId="5">
    <w:name w:val="toc 5"/>
    <w:basedOn w:val="a"/>
    <w:next w:val="a"/>
    <w:rsid w:val="00CD09CA"/>
    <w:pPr>
      <w:suppressAutoHyphens/>
      <w:spacing w:after="100" w:line="256" w:lineRule="auto"/>
      <w:ind w:left="880"/>
    </w:pPr>
    <w:rPr>
      <w:rFonts w:ascii="Calibri" w:hAnsi="Calibri" w:cs="Calibri"/>
      <w:sz w:val="22"/>
      <w:szCs w:val="22"/>
      <w:lang w:eastAsia="zh-CN"/>
    </w:rPr>
  </w:style>
  <w:style w:type="paragraph" w:styleId="6">
    <w:name w:val="toc 6"/>
    <w:basedOn w:val="a"/>
    <w:next w:val="a"/>
    <w:rsid w:val="00CD09CA"/>
    <w:pPr>
      <w:suppressAutoHyphens/>
      <w:spacing w:after="100" w:line="256" w:lineRule="auto"/>
      <w:ind w:left="1100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rsid w:val="00CD09CA"/>
    <w:pPr>
      <w:suppressAutoHyphens/>
      <w:spacing w:after="100" w:line="256" w:lineRule="auto"/>
      <w:ind w:left="1320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rsid w:val="00CD09CA"/>
    <w:pPr>
      <w:suppressAutoHyphens/>
      <w:spacing w:after="100" w:line="256" w:lineRule="auto"/>
      <w:ind w:left="1540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rsid w:val="00CD09CA"/>
    <w:pPr>
      <w:suppressAutoHyphens/>
      <w:spacing w:after="100" w:line="256" w:lineRule="auto"/>
      <w:ind w:left="1760"/>
    </w:pPr>
    <w:rPr>
      <w:rFonts w:ascii="Calibri" w:hAnsi="Calibri" w:cs="Calibri"/>
      <w:sz w:val="22"/>
      <w:szCs w:val="22"/>
      <w:lang w:eastAsia="zh-CN"/>
    </w:rPr>
  </w:style>
  <w:style w:type="paragraph" w:customStyle="1" w:styleId="102">
    <w:name w:val="Оглавление 10"/>
    <w:basedOn w:val="15"/>
    <w:rsid w:val="00CD09CA"/>
    <w:pPr>
      <w:tabs>
        <w:tab w:val="right" w:leader="dot" w:pos="7091"/>
      </w:tabs>
      <w:ind w:left="2547"/>
    </w:pPr>
  </w:style>
  <w:style w:type="paragraph" w:customStyle="1" w:styleId="aff9">
    <w:name w:val="Содержимое таблицы"/>
    <w:basedOn w:val="a"/>
    <w:rsid w:val="00CD09CA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fa">
    <w:name w:val="Заголовок таблицы"/>
    <w:basedOn w:val="aff9"/>
    <w:rsid w:val="00CD09CA"/>
    <w:pPr>
      <w:jc w:val="center"/>
    </w:pPr>
    <w:rPr>
      <w:b/>
      <w:bCs/>
    </w:rPr>
  </w:style>
  <w:style w:type="paragraph" w:customStyle="1" w:styleId="Standard">
    <w:name w:val="Standard"/>
    <w:rsid w:val="00CD0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CD09CA"/>
    <w:rPr>
      <w:b/>
      <w:bCs/>
    </w:rPr>
  </w:style>
  <w:style w:type="paragraph" w:customStyle="1" w:styleId="Textbody">
    <w:name w:val="Text body"/>
    <w:basedOn w:val="a"/>
    <w:rsid w:val="00CD09CA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affb">
    <w:name w:val="FollowedHyperlink"/>
    <w:basedOn w:val="a0"/>
    <w:rsid w:val="00CD0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412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6536</Words>
  <Characters>37258</Characters>
  <Application>Microsoft Office Word</Application>
  <DocSecurity>0</DocSecurity>
  <Lines>310</Lines>
  <Paragraphs>87</Paragraphs>
  <ScaleCrop>false</ScaleCrop>
  <Company/>
  <LinksUpToDate>false</LinksUpToDate>
  <CharactersWithSpaces>43707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2019-07-25T13:32:00Z</dcterms:created>
  <dcterms:modified xsi:type="dcterms:W3CDTF">2019-07-25T13:35:00Z</dcterms:modified>
</cp:coreProperties>
</file>