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bookmarkStart w:id="0" w:name="_GoBack"/>
      <w:bookmarkEnd w:id="0"/>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5"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lastRenderedPageBreak/>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7"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8"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9"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lastRenderedPageBreak/>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0"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w:t>
      </w:r>
      <w:r w:rsidRPr="007B310C">
        <w:rPr>
          <w:rFonts w:ascii="Arial" w:hAnsi="Arial" w:cs="Arial"/>
          <w:sz w:val="24"/>
          <w:szCs w:val="24"/>
        </w:rPr>
        <w:lastRenderedPageBreak/>
        <w:t>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5) сведения о размещении заключения экспертизы проектной документации и (или) результатов инженерных изысканий, иных указанных в </w:t>
      </w:r>
      <w:hyperlink r:id="rId11"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2"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3"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4"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12.2) предусмотренное </w:t>
      </w:r>
      <w:hyperlink r:id="rId15"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16"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17"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18"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w:t>
      </w:r>
      <w:r w:rsidRPr="007B310C">
        <w:rPr>
          <w:rFonts w:ascii="Arial" w:hAnsi="Arial" w:cs="Arial"/>
          <w:sz w:val="24"/>
          <w:szCs w:val="24"/>
        </w:rPr>
        <w:lastRenderedPageBreak/>
        <w:t>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19"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w:t>
      </w:r>
      <w:r w:rsidRPr="007B310C">
        <w:rPr>
          <w:rFonts w:ascii="Arial" w:hAnsi="Arial" w:cs="Arial"/>
          <w:sz w:val="24"/>
          <w:szCs w:val="24"/>
        </w:rPr>
        <w:lastRenderedPageBreak/>
        <w:t xml:space="preserve">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r:id="rId20"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1"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2"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3"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4"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5"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1.4. Порядок ведения государственной информационной системы обеспечения градостроительной деятельности Российской Федерации, требования к порядку </w:t>
      </w:r>
      <w:r w:rsidRPr="007B310C">
        <w:rPr>
          <w:rFonts w:ascii="Arial" w:hAnsi="Arial" w:cs="Arial"/>
          <w:sz w:val="24"/>
          <w:szCs w:val="24"/>
        </w:rPr>
        <w:lastRenderedPageBreak/>
        <w:t>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w:t>
      </w:r>
      <w:r w:rsidRPr="007B310C">
        <w:rPr>
          <w:rFonts w:ascii="Arial" w:hAnsi="Arial" w:cs="Arial"/>
          <w:sz w:val="24"/>
          <w:szCs w:val="24"/>
        </w:rPr>
        <w:lastRenderedPageBreak/>
        <w:t>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27" w:history="1">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28"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w:t>
      </w:r>
      <w:r w:rsidRPr="007B310C">
        <w:rPr>
          <w:rFonts w:ascii="Arial" w:hAnsi="Arial" w:cs="Arial"/>
          <w:sz w:val="24"/>
          <w:szCs w:val="24"/>
        </w:rPr>
        <w:lastRenderedPageBreak/>
        <w:t>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9"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0"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1"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lastRenderedPageBreak/>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2"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3"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4"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5"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w:t>
      </w:r>
      <w:hyperlink r:id="rId36"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37"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w:t>
      </w:r>
      <w:proofErr w:type="gramStart"/>
      <w:r w:rsidRPr="00C06B65">
        <w:rPr>
          <w:rFonts w:ascii="Arial" w:hAnsi="Arial" w:cs="Arial"/>
          <w:bCs/>
          <w:sz w:val="24"/>
          <w:szCs w:val="24"/>
        </w:rPr>
        <w:t>градостроительных планов</w:t>
      </w:r>
      <w:proofErr w:type="gramEnd"/>
      <w:r w:rsidRPr="00C06B65">
        <w:rPr>
          <w:rFonts w:ascii="Arial" w:hAnsi="Arial" w:cs="Arial"/>
          <w:bCs/>
          <w:sz w:val="24"/>
          <w:szCs w:val="24"/>
        </w:rPr>
        <w:t xml:space="preserve">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lastRenderedPageBreak/>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зонах, прибрежных защитных полосах устанавливается с учетом требований Водного </w:t>
      </w:r>
      <w:hyperlink r:id="rId38"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12.5. Санитарно-защитные зоны в проектах генеральных планах целесообразно </w:t>
      </w:r>
      <w:proofErr w:type="gramStart"/>
      <w:r w:rsidRPr="00D13505">
        <w:rPr>
          <w:rFonts w:ascii="Arial" w:hAnsi="Arial" w:cs="Arial"/>
          <w:sz w:val="24"/>
          <w:szCs w:val="24"/>
        </w:rPr>
        <w:t>учитывать</w:t>
      </w:r>
      <w:proofErr w:type="gramEnd"/>
      <w:r w:rsidRPr="00D13505">
        <w:rPr>
          <w:rFonts w:ascii="Arial" w:hAnsi="Arial" w:cs="Arial"/>
          <w:sz w:val="24"/>
          <w:szCs w:val="24"/>
        </w:rPr>
        <w:t xml:space="preserve"> как специальные территории с особым режимом использования, </w:t>
      </w:r>
      <w:r w:rsidRPr="00D13505">
        <w:rPr>
          <w:rFonts w:ascii="Arial" w:hAnsi="Arial" w:cs="Arial"/>
          <w:sz w:val="24"/>
          <w:szCs w:val="24"/>
        </w:rPr>
        <w:lastRenderedPageBreak/>
        <w:t>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39"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При проектировании следует учитывать, что в соответствии с </w:t>
      </w:r>
      <w:hyperlink r:id="rId40"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на территории государственного природного заповедника запрещается любая деятельность, противоречащая задачам государственного природного </w:t>
      </w:r>
      <w:r w:rsidRPr="00D13505">
        <w:rPr>
          <w:rFonts w:ascii="Arial" w:hAnsi="Arial" w:cs="Arial"/>
          <w:sz w:val="24"/>
          <w:szCs w:val="24"/>
        </w:rPr>
        <w:lastRenderedPageBreak/>
        <w:t>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1"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2"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3"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4"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5"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12.17. В целях обеспечения нормальной эксплуатации земельных и водных ресурсов, объектов капитального строительства, безопасности населения могут </w:t>
      </w:r>
      <w:r w:rsidRPr="00D13505">
        <w:rPr>
          <w:rFonts w:ascii="Arial" w:hAnsi="Arial" w:cs="Arial"/>
          <w:sz w:val="24"/>
          <w:szCs w:val="24"/>
        </w:rPr>
        <w:lastRenderedPageBreak/>
        <w:t>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пожаро</w:t>
      </w:r>
      <w:proofErr w:type="spell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10"/>
    <w:rsid w:val="0003659B"/>
    <w:rsid w:val="00190D3E"/>
    <w:rsid w:val="003876D3"/>
    <w:rsid w:val="00500F07"/>
    <w:rsid w:val="00545A95"/>
    <w:rsid w:val="005C05E2"/>
    <w:rsid w:val="005C3460"/>
    <w:rsid w:val="007950B4"/>
    <w:rsid w:val="007B310C"/>
    <w:rsid w:val="00815F31"/>
    <w:rsid w:val="00AE1ECE"/>
    <w:rsid w:val="00B6781B"/>
    <w:rsid w:val="00C06B65"/>
    <w:rsid w:val="00C85B2E"/>
    <w:rsid w:val="00CD2410"/>
    <w:rsid w:val="00CE7005"/>
    <w:rsid w:val="00D02B8E"/>
    <w:rsid w:val="00D13505"/>
    <w:rsid w:val="00E8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B9A28-BAE9-48E3-9823-F0DBD16C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996464547ABF6A53AC601681050E345B599D87C9D4D8F71742490589CF97AAD99EAD7FD7F2A8F06E0441E92A3BB2639FE01F2750F2652k4sCF" TargetMode="External"/><Relationship Id="rId13" Type="http://schemas.openxmlformats.org/officeDocument/2006/relationships/hyperlink" Target="consultantplus://offline/ref=5FB7A46BF5B568A2F5C98DAA54500B82322C9256ACA07A1FA2DB4CCDF384AD0205DD4A074C175C7D4B648428EF47A741ED9CA51B2DFDq4W7G" TargetMode="External"/><Relationship Id="rId18" Type="http://schemas.openxmlformats.org/officeDocument/2006/relationships/hyperlink" Target="consultantplus://offline/ref=5FB7A46BF5B568A2F5C98DAA54500B8230269A50A1AA7A1FA2DB4CCDF384AD0205DD4A0448155A76193E942CA610AD5DEB83BA1833FE4E22q3W6G" TargetMode="External"/><Relationship Id="rId26" Type="http://schemas.openxmlformats.org/officeDocument/2006/relationships/hyperlink" Target="consultantplus://offline/ref=13BE05CCE2CA6F98FEC6882A7FA23599EBA1B0FE76D75F5FA2F2E24CA19480D3DBFADD9FBDC6CD2CAB610809BCpDd0G" TargetMode="External"/><Relationship Id="rId39" Type="http://schemas.openxmlformats.org/officeDocument/2006/relationships/hyperlink" Target="consultantplus://offline/ref=CE0758F91580D8A3E94E8FF27018D2A08F5CF5A0D8FE8C346A00546401CC3F14D7FB2E753FE93BE520E4B771FC67C30E14DBFFCAFC84E3DF25lDH" TargetMode="External"/><Relationship Id="rId3" Type="http://schemas.openxmlformats.org/officeDocument/2006/relationships/settings" Target="settings.xml"/><Relationship Id="rId21" Type="http://schemas.openxmlformats.org/officeDocument/2006/relationships/hyperlink" Target="consultantplus://offline/ref=13BE05CCE2CA6F98FEC6882A7FA23599EBA1B0F776D45F5FA2F2E24CA19480D3C9FA8590B6C4D526FE2E4E5CB0DB305E21BA68A992CFp1dAG" TargetMode="External"/><Relationship Id="rId34" Type="http://schemas.openxmlformats.org/officeDocument/2006/relationships/hyperlink" Target="consultantplus://offline/ref=260C3539C21595CEB69E8C1B77A67C3BB1DF7CF8F78F3F26D2AF17EFA5EFE0C08730DFF0A87F8386F5C33970C1169DBFE495A35976jBeFH" TargetMode="External"/><Relationship Id="rId42" Type="http://schemas.openxmlformats.org/officeDocument/2006/relationships/hyperlink" Target="consultantplus://offline/ref=CE0758F91580D8A3E94E8FF27018D2A08F5DFCA2DCF38C346A00546401CC3F14C5FB76793DEE27E628F1E120B923lBH" TargetMode="External"/><Relationship Id="rId47" Type="http://schemas.openxmlformats.org/officeDocument/2006/relationships/theme" Target="theme/theme1.xml"/><Relationship Id="rId7" Type="http://schemas.openxmlformats.org/officeDocument/2006/relationships/hyperlink" Target="consultantplus://offline/ref=FA33D06D76506352DF3CAD3B62A04FD452A668A141D14E3FEE9044AFAED04074295FDA44919DC633789711E4C80A58B5B37DC090B7B4B0r9F" TargetMode="External"/><Relationship Id="rId12" Type="http://schemas.openxmlformats.org/officeDocument/2006/relationships/hyperlink" Target="consultantplus://offline/ref=5FB7A46BF5B568A2F5C98DAA54500B82322C9256ACA07A1FA2DB4CCDF384AD0205DD4A074E115A7D4B648428EF47A741ED9CA51B2DFDq4W7G" TargetMode="External"/><Relationship Id="rId17" Type="http://schemas.openxmlformats.org/officeDocument/2006/relationships/hyperlink" Target="consultantplus://offline/ref=5FB7A46BF5B568A2F5C98DAA54500B82322C9256ACA07A1FA2DB4CCDF384AD0205DD4A074E135A7D4B648428EF47A741ED9CA51B2DFDq4W7G" TargetMode="External"/><Relationship Id="rId25" Type="http://schemas.openxmlformats.org/officeDocument/2006/relationships/hyperlink" Target="consultantplus://offline/ref=13BE05CCE2CA6F98FEC6882A7FA23599EBA1B0F776D45F5FA2F2E24CA19480D3C9FA8590B6C5D726FE2E4E5CB0DB305E21BA68A992CFp1dAG" TargetMode="External"/><Relationship Id="rId33" Type="http://schemas.openxmlformats.org/officeDocument/2006/relationships/hyperlink" Target="consultantplus://offline/ref=13BE05CCE2CA6F98FEC6882A7FA23599EBA1B0F776D45F5FA2F2E24CA19480D3C9FA8593B9C2DA26FE2E4E5CB0DB305E21BA68A992CFp1dAG" TargetMode="External"/><Relationship Id="rId38" Type="http://schemas.openxmlformats.org/officeDocument/2006/relationships/hyperlink" Target="consultantplus://offline/ref=CE0758F91580D8A3E94E8FF27018D2A08F5DFCABD9F78C346A00546401CC3F14C5FB76793DEE27E628F1E120B923lB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05E7D4B648428EF47A741ED9CA51B2DFDq4W7G" TargetMode="External"/><Relationship Id="rId20" Type="http://schemas.openxmlformats.org/officeDocument/2006/relationships/hyperlink" Target="consultantplus://offline/ref=13BE05CCE2CA6F98FEC6882A7FA23599EBA1B0F776D45F5FA2F2E24CA19480D3C9FA8590B6C3DB26FE2E4E5CB0DB305E21BA68A992CFp1dAG" TargetMode="External"/><Relationship Id="rId29" Type="http://schemas.openxmlformats.org/officeDocument/2006/relationships/hyperlink" Target="consultantplus://offline/ref=13BE05CCE2CA6F98FEC6882A7FA23599EAA2B8F471D55F5FA2F2E24CA19480D3C9FA8593BFC1D32DAC745E58F98C3A4227A577AA8CCC1320pBd1G" TargetMode="External"/><Relationship Id="rId41" Type="http://schemas.openxmlformats.org/officeDocument/2006/relationships/hyperlink" Target="consultantplus://offline/ref=CE0758F91580D8A3E94E8FF27018D2A08F5DFCA2DCF38C346A00546401CC3F14D7FB2E753FE938EF20E4B771FC67C30E14DBFFCAFC84E3DF25lDH" TargetMode="External"/><Relationship Id="rId1" Type="http://schemas.openxmlformats.org/officeDocument/2006/relationships/numbering" Target="numbering.xml"/><Relationship Id="rId6" Type="http://schemas.openxmlformats.org/officeDocument/2006/relationships/hyperlink" Target="consultantplus://offline/ref=ADC9C4BC28D3E650ABAA89739345E22CA5CFB8F9337E77AAE437714E3E117CB5033032A2FD1974ABF2B8E84DCF3B076E4A3DB75E94q1o8F" TargetMode="External"/><Relationship Id="rId11" Type="http://schemas.openxmlformats.org/officeDocument/2006/relationships/hyperlink" Target="consultantplus://offline/ref=5FB7A46BF5B568A2F5C98DAA54500B82322C9256ACA07A1FA2DB4CCDF384AD0205DD4A074D175A7D4B648428EF47A741ED9CA51B2DFDq4W7G" TargetMode="External"/><Relationship Id="rId24" Type="http://schemas.openxmlformats.org/officeDocument/2006/relationships/hyperlink" Target="consultantplus://offline/ref=13BE05CCE2CA6F98FEC6882A7FA23599EBA1B0F776D45F5FA2F2E24CA19480D3C9FA8590B6C2D126FE2E4E5CB0DB305E21BA68A992CFp1dAG" TargetMode="External"/><Relationship Id="rId32" Type="http://schemas.openxmlformats.org/officeDocument/2006/relationships/hyperlink" Target="consultantplus://offline/ref=13BE05CCE2CA6F98FEC6882A7FA23599EBA2B7FE73D35F5FA2F2E24CA19480D3C9FA8593BFC1D32CA2745E58F98C3A4227A577AA8CCC1320pBd1G" TargetMode="External"/><Relationship Id="rId37" Type="http://schemas.openxmlformats.org/officeDocument/2006/relationships/hyperlink" Target="consultantplus://offline/ref=260C3539C21595CEB69E8C1B77A67C3BB0DD7BFCF68F3F26D2AF17EFA5EFE0C08730DFF0A07B89D6AD8C382C87448EBCE295A05869B4641Cj9eCH" TargetMode="External"/><Relationship Id="rId40" Type="http://schemas.openxmlformats.org/officeDocument/2006/relationships/hyperlink" Target="consultantplus://offline/ref=CE0758F91580D8A3E94E8FF27018D2A08F5DFCA2D9F68C346A00546401CC3F14C5FB76793DEE27E628F1E120B923lBH" TargetMode="External"/><Relationship Id="rId45" Type="http://schemas.openxmlformats.org/officeDocument/2006/relationships/hyperlink" Target="consultantplus://offline/ref=CE0758F91580D8A3E94E8FF27018D2A08A56F4A7D6A0DB363B555A61099C770499BE23743FE839EC7DBEA775B530C91212C4E0C9E2872ElAH" TargetMode="External"/><Relationship Id="rId5" Type="http://schemas.openxmlformats.org/officeDocument/2006/relationships/hyperlink" Target="consultantplus://offline/ref=D7F443C09FAE0B86A0B0165A2374C6EFC55EB74AA68DF369AC0F1ADAEB7E04E19040AD17716CD801E3D100A86E42CAA8D376E34C1AD0IBb8F" TargetMode="External"/><Relationship Id="rId15" Type="http://schemas.openxmlformats.org/officeDocument/2006/relationships/hyperlink" Target="consultantplus://offline/ref=5FB7A46BF5B568A2F5C98DAA54500B82322C9256ACA07A1FA2DB4CCDF384AD0205DD4A074D1C5F7D4B648428EF47A741ED9CA51B2DFDq4W7G" TargetMode="External"/><Relationship Id="rId23" Type="http://schemas.openxmlformats.org/officeDocument/2006/relationships/hyperlink" Target="consultantplus://offline/ref=13BE05CCE2CA6F98FEC6882A7FA23599EBA1B0F776D45F5FA2F2E24CA19480D3C9FA8590B6C2D326FE2E4E5CB0DB305E21BA68A992CFp1dAG" TargetMode="External"/><Relationship Id="rId28" Type="http://schemas.openxmlformats.org/officeDocument/2006/relationships/hyperlink" Target="consultantplus://offline/ref=13BE05CCE2CA6F98FEC6882A7FA23599EBA1B0F776D45F5FA2F2E24CA19480D3C9FA8593B9C2DA26FE2E4E5CB0DB305E21BA68A992CFp1dAG" TargetMode="External"/><Relationship Id="rId36" Type="http://schemas.openxmlformats.org/officeDocument/2006/relationships/hyperlink" Target="consultantplus://offline/ref=260C3539C21595CEB69E8C1B77A67C3BB0DD7BFCF68F3F26D2AF17EFA5EFE0C08730DFF0A07B88D3A08C382C87448EBCE295A05869B4641Cj9eCH" TargetMode="External"/><Relationship Id="rId10" Type="http://schemas.openxmlformats.org/officeDocument/2006/relationships/hyperlink" Target="consultantplus://offline/ref=5FB7A46BF5B568A2F5C98DAA54500B82332E9552ADA07A1FA2DB4CCDF384AD0205DD4A0448155A771B3E942CA610AD5DEB83BA1833FE4E22q3W6G" TargetMode="External"/><Relationship Id="rId19" Type="http://schemas.openxmlformats.org/officeDocument/2006/relationships/hyperlink" Target="consultantplus://offline/ref=5FB7A46BF5B568A2F5C98DAA54500B82382C9B5FA9A92715AA8240CFF48BF2150294460548155A7714619139B748A258F29CBA072FFC4Fq2WAG" TargetMode="External"/><Relationship Id="rId31" Type="http://schemas.openxmlformats.org/officeDocument/2006/relationships/hyperlink" Target="consultantplus://offline/ref=13BE05CCE2CA6F98FEC6882A7FA23599EBA0B9F377D55F5FA2F2E24CA19480D3C9FA8593BFC1D32CAB745E58F98C3A4227A577AA8CCC1320pBd1G" TargetMode="External"/><Relationship Id="rId44" Type="http://schemas.openxmlformats.org/officeDocument/2006/relationships/hyperlink" Target="consultantplus://offline/ref=CE0758F91580D8A3E94E8FF27018D2A08D5BFAABD5F28C346A00546401CC3F14C5FB76793DEE27E628F1E120B923lBH" TargetMode="External"/><Relationship Id="rId4" Type="http://schemas.openxmlformats.org/officeDocument/2006/relationships/webSettings" Target="webSettings.xml"/><Relationship Id="rId9" Type="http://schemas.openxmlformats.org/officeDocument/2006/relationships/hyperlink" Target="consultantplus://offline/ref=24D996464547ABF6A53AC601681050E345B599D17C9E4D8F71742490589CF97AAD99EAD7FD7F2E8D00E0441E92A3BB2639FE01F2750F2652k4sCF" TargetMode="External"/><Relationship Id="rId14" Type="http://schemas.openxmlformats.org/officeDocument/2006/relationships/hyperlink" Target="consultantplus://offline/ref=5FB7A46BF5B568A2F5C98DAA54500B82322C9256ACA07A1FA2DB4CCDF384AD0205DD4A074D12537D4B648428EF47A741ED9CA51B2DFDq4W7G" TargetMode="External"/><Relationship Id="rId22" Type="http://schemas.openxmlformats.org/officeDocument/2006/relationships/hyperlink" Target="consultantplus://offline/ref=13BE05CCE2CA6F98FEC6882A7FA23599EBA1B0F776D45F5FA2F2E24CA19480D3C9FA8590B6C3DA26FE2E4E5CB0DB305E21BA68A992CFp1dAG" TargetMode="External"/><Relationship Id="rId27" Type="http://schemas.openxmlformats.org/officeDocument/2006/relationships/hyperlink" Target="consultantplus://offline/ref=13BE05CCE2CA6F98FEC6882A7FA23599EAA2B8F471D55F5FA2F2E24CA19480D3C9FA8593BFC1D32CA3745E58F98C3A4227A577AA8CCC1320pBd1G" TargetMode="External"/><Relationship Id="rId30" Type="http://schemas.openxmlformats.org/officeDocument/2006/relationships/hyperlink" Target="consultantplus://offline/ref=13BE05CCE2CA6F98FEC6882A7FA23599EAA2B8F471D55F5FA2F2E24CA19480D3C9FA8593BFC1D325AF745E58F98C3A4227A577AA8CCC1320pBd1G" TargetMode="External"/><Relationship Id="rId35" Type="http://schemas.openxmlformats.org/officeDocument/2006/relationships/hyperlink" Target="consultantplus://offline/ref=260C3539C21595CEB69E8C1B77A67C3BB1DF7CF8F78F3F26D2AF17EFA5EFE0C08730DFF7A37E8386F5C33970C1169DBFE495A35976jBeFH" TargetMode="External"/><Relationship Id="rId43" Type="http://schemas.openxmlformats.org/officeDocument/2006/relationships/hyperlink" Target="consultantplus://offline/ref=CE0758F91580D8A3E94E8FF27018D2A08D5BFAABD5F28C346A00546401CC3F14C5FB76793DEE27E628F1E120B923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26</Pages>
  <Words>11906</Words>
  <Characters>67870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Адм. Красночетайского района - Светлана Николаева</cp:lastModifiedBy>
  <cp:revision>13</cp:revision>
  <cp:lastPrinted>2019-11-27T10:31:00Z</cp:lastPrinted>
  <dcterms:created xsi:type="dcterms:W3CDTF">2019-11-27T05:16:00Z</dcterms:created>
  <dcterms:modified xsi:type="dcterms:W3CDTF">2019-12-12T12:46:00Z</dcterms:modified>
</cp:coreProperties>
</file>