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95" w:type="dxa"/>
        <w:tblCellSpacing w:w="1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21"/>
      </w:tblGrid>
      <w:tr w:rsidR="00DB7F35" w:rsidRPr="00147DC0" w:rsidTr="00A70015">
        <w:trPr>
          <w:tblCellSpacing w:w="15" w:type="dxa"/>
        </w:trPr>
        <w:tc>
          <w:tcPr>
            <w:tcW w:w="5535" w:type="dxa"/>
            <w:vAlign w:val="center"/>
          </w:tcPr>
          <w:p w:rsidR="007C0140" w:rsidRDefault="007C0140" w:rsidP="007C0140">
            <w:pPr>
              <w:tabs>
                <w:tab w:val="left" w:pos="63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5650" cy="906145"/>
                  <wp:effectExtent l="19050" t="0" r="6350" b="0"/>
                  <wp:docPr id="1" name="Рисунок 1" descr="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155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431"/>
            </w:tblGrid>
            <w:tr w:rsidR="007C0140" w:rsidTr="007C0140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48" w:type="dxa"/>
                    <w:tblLook w:val="04A0"/>
                  </w:tblPr>
                  <w:tblGrid>
                    <w:gridCol w:w="4161"/>
                    <w:gridCol w:w="1225"/>
                    <w:gridCol w:w="4262"/>
                  </w:tblGrid>
                  <w:tr w:rsidR="007C0140">
                    <w:trPr>
                      <w:cantSplit/>
                      <w:trHeight w:val="3054"/>
                    </w:trPr>
                    <w:tc>
                      <w:tcPr>
                        <w:tcW w:w="4161" w:type="dxa"/>
                        <w:hideMark/>
                      </w:tcPr>
                      <w:p w:rsidR="007C0140" w:rsidRDefault="007C0140" w:rsidP="007C0140">
                        <w:pPr>
                          <w:tabs>
                            <w:tab w:val="left" w:pos="1047"/>
                          </w:tabs>
                          <w:spacing w:line="240" w:lineRule="auto"/>
                          <w:jc w:val="center"/>
                          <w:rPr>
                            <w:rFonts w:ascii="Times New Roman" w:eastAsia="MS Mincho" w:hAnsi="Times New Roman" w:cs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ЧĂ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ВАШ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РЕСПУБЛИКИ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КОМСОМОЛЬСКИ РАЙОНĚ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АСЛĂ ÇĚРПУЕЛ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ЯЛ ПОСЕЛЕНИ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ДЕПУТАЧĚСЕН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ПУХĂ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Ě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ЙЫШĂНУ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июлĕн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11-мĕшĕ 2019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ç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 2/93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АСЛĂ ÇĚРПУЕЛ ЯЛĚ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262" w:type="dxa"/>
                      </w:tcPr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eastAsia="MS Mincho" w:hAnsi="Times New Roman" w:cs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ЧУВАШСКАЯ РЕСПУБЛИКА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КОМСОМОЛЬСКИЙ РАЙОН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СОБРАНИЕ ДЕПУТАТОВ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НОВОЧЕЛНЫ – СЮРБЕЕВСКОГО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РЕШЕНИЕ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  11 июля 2019 г.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 2/93</w:t>
                        </w:r>
                      </w:p>
                      <w:p w:rsidR="007C0140" w:rsidRDefault="007C0140" w:rsidP="007C014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СЕЛО НОВОЧЕЛНЫ-СЮРБЕЕВО</w:t>
                        </w:r>
                      </w:p>
                    </w:tc>
                  </w:tr>
                </w:tbl>
                <w:p w:rsidR="007C0140" w:rsidRDefault="007C0140" w:rsidP="007C0140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ru-RU"/>
                    </w:rPr>
                  </w:pPr>
                </w:p>
              </w:tc>
            </w:tr>
          </w:tbl>
          <w:p w:rsidR="00DB7F35" w:rsidRPr="00884A7F" w:rsidRDefault="00DB7F35" w:rsidP="007C01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015" w:rsidRPr="001024BF" w:rsidRDefault="00A70015" w:rsidP="001024BF">
      <w:pPr>
        <w:spacing w:before="100" w:beforeAutospacing="1" w:after="100" w:afterAutospacing="1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4B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</w:t>
      </w:r>
      <w:proofErr w:type="spellStart"/>
      <w:r w:rsidRPr="001024BF">
        <w:rPr>
          <w:rFonts w:ascii="Times New Roman" w:hAnsi="Times New Roman" w:cs="Times New Roman"/>
          <w:sz w:val="28"/>
          <w:szCs w:val="28"/>
          <w:lang w:eastAsia="ru-RU"/>
        </w:rPr>
        <w:t>Новочелны-Сюрбеевского</w:t>
      </w:r>
      <w:proofErr w:type="spellEnd"/>
      <w:r w:rsidRPr="0010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Комсомольского района Чувашской Республики</w:t>
      </w:r>
    </w:p>
    <w:p w:rsidR="00DB7F35" w:rsidRPr="001024BF" w:rsidRDefault="00DB7F35" w:rsidP="001024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4BF">
        <w:rPr>
          <w:rFonts w:ascii="Times New Roman" w:hAnsi="Times New Roman" w:cs="Times New Roman"/>
          <w:sz w:val="28"/>
          <w:szCs w:val="28"/>
          <w:lang w:eastAsia="ru-RU"/>
        </w:rPr>
        <w:t xml:space="preserve">  В соответствии с Градостроительным кодексом Российской Федерации, со статьей 28 Федерального закона от 6 октября 2003 года № 131-ФЗ «Об общих принципах организации местного самоуправления в Российской Федерации», Уставом </w:t>
      </w:r>
      <w:proofErr w:type="spellStart"/>
      <w:r w:rsidR="00A70015" w:rsidRPr="001024BF">
        <w:rPr>
          <w:rFonts w:ascii="Times New Roman" w:hAnsi="Times New Roman" w:cs="Times New Roman"/>
          <w:sz w:val="28"/>
          <w:szCs w:val="28"/>
          <w:lang w:eastAsia="ru-RU"/>
        </w:rPr>
        <w:t>Новочелны-Сюрбеевского</w:t>
      </w:r>
      <w:proofErr w:type="spellEnd"/>
      <w:r w:rsidRPr="0010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Комсомольского района Чувашской Республики,   Собрание депутатов </w:t>
      </w:r>
      <w:proofErr w:type="spellStart"/>
      <w:r w:rsidR="00A70015" w:rsidRPr="001024BF">
        <w:rPr>
          <w:rFonts w:ascii="Times New Roman" w:hAnsi="Times New Roman" w:cs="Times New Roman"/>
          <w:sz w:val="28"/>
          <w:szCs w:val="28"/>
          <w:lang w:eastAsia="ru-RU"/>
        </w:rPr>
        <w:t>Новочелны-Сюрбеевского</w:t>
      </w:r>
      <w:proofErr w:type="spellEnd"/>
      <w:r w:rsidRPr="0010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Комсомольского района Чувашской Республики РЕШИЛО:                                                </w:t>
      </w:r>
    </w:p>
    <w:p w:rsidR="00DB7F35" w:rsidRPr="001024BF" w:rsidRDefault="00DB7F35" w:rsidP="001024B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4BF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проведении публичных слушаний или общественных обсуждений по вопросам градостроительной деятельности на территории </w:t>
      </w:r>
      <w:proofErr w:type="spellStart"/>
      <w:r w:rsidR="00A70015" w:rsidRPr="001024BF">
        <w:rPr>
          <w:rFonts w:ascii="Times New Roman" w:hAnsi="Times New Roman" w:cs="Times New Roman"/>
          <w:sz w:val="28"/>
          <w:szCs w:val="28"/>
          <w:lang w:eastAsia="ru-RU"/>
        </w:rPr>
        <w:t>Новочелны-Сюрбеевского</w:t>
      </w:r>
      <w:proofErr w:type="spellEnd"/>
      <w:r w:rsidRPr="0010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Комсомольского района Чувашской Республики.                    </w:t>
      </w:r>
    </w:p>
    <w:p w:rsidR="00DB7F35" w:rsidRPr="001024BF" w:rsidRDefault="00DB7F35" w:rsidP="001024B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4BF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 силу Приложение №</w:t>
      </w:r>
      <w:r w:rsidR="001024BF" w:rsidRPr="001024BF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Pr="001024BF">
        <w:rPr>
          <w:rFonts w:ascii="Times New Roman" w:hAnsi="Times New Roman" w:cs="Times New Roman"/>
          <w:sz w:val="28"/>
          <w:szCs w:val="28"/>
          <w:lang w:eastAsia="ru-RU"/>
        </w:rPr>
        <w:t xml:space="preserve"> «Положение о порядке организации и проведения публичных слушаний по вопросам градостроительной деятельности на территории </w:t>
      </w:r>
      <w:proofErr w:type="spellStart"/>
      <w:r w:rsidR="00A70015" w:rsidRPr="001024BF">
        <w:rPr>
          <w:rFonts w:ascii="Times New Roman" w:hAnsi="Times New Roman" w:cs="Times New Roman"/>
          <w:sz w:val="28"/>
          <w:szCs w:val="28"/>
          <w:lang w:eastAsia="ru-RU"/>
        </w:rPr>
        <w:t>Новочелны-Сюрбеевского</w:t>
      </w:r>
      <w:proofErr w:type="spellEnd"/>
      <w:r w:rsidRPr="00102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24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Комсомольского района» к решению Собрания депутатов </w:t>
      </w:r>
      <w:proofErr w:type="spellStart"/>
      <w:r w:rsidR="00A70015" w:rsidRPr="001024BF">
        <w:rPr>
          <w:rFonts w:ascii="Times New Roman" w:hAnsi="Times New Roman" w:cs="Times New Roman"/>
          <w:sz w:val="28"/>
          <w:szCs w:val="28"/>
          <w:lang w:eastAsia="ru-RU"/>
        </w:rPr>
        <w:t>Новочелны-Сюрбеевского</w:t>
      </w:r>
      <w:proofErr w:type="spellEnd"/>
      <w:r w:rsidRPr="0010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Комсомольского района Чувашской Республ</w:t>
      </w:r>
      <w:r w:rsidR="001024BF" w:rsidRPr="001024BF">
        <w:rPr>
          <w:rFonts w:ascii="Times New Roman" w:hAnsi="Times New Roman" w:cs="Times New Roman"/>
          <w:sz w:val="28"/>
          <w:szCs w:val="28"/>
          <w:lang w:eastAsia="ru-RU"/>
        </w:rPr>
        <w:t>ики  от 30.06.2008 г. № 01</w:t>
      </w:r>
      <w:r w:rsidRPr="001024B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1024BF" w:rsidRPr="001024BF">
        <w:rPr>
          <w:rFonts w:ascii="Times New Roman" w:hAnsi="Times New Roman" w:cs="Times New Roman"/>
          <w:sz w:val="28"/>
          <w:szCs w:val="28"/>
          <w:lang w:eastAsia="ru-RU"/>
        </w:rPr>
        <w:t>71</w:t>
      </w:r>
      <w:r w:rsidRPr="001024BF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нормативных правовых документов в сфере градостроительной  деятельности».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7F35" w:rsidRPr="001024BF" w:rsidRDefault="00DB7F35" w:rsidP="001024B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4B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024BF" w:rsidRPr="001024B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024BF" w:rsidRPr="001024BF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после его официального опубликования в информационном бюллетене «Вестник </w:t>
      </w:r>
      <w:proofErr w:type="spellStart"/>
      <w:r w:rsidR="001024BF" w:rsidRPr="001024BF">
        <w:rPr>
          <w:rFonts w:ascii="Times New Roman" w:hAnsi="Times New Roman" w:cs="Times New Roman"/>
          <w:sz w:val="28"/>
          <w:szCs w:val="28"/>
        </w:rPr>
        <w:t>Новочелны-Сюрбеевского</w:t>
      </w:r>
      <w:proofErr w:type="spellEnd"/>
      <w:r w:rsidR="001024BF" w:rsidRPr="001024BF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района» и подлежит размещению на официальном сайте </w:t>
      </w:r>
      <w:proofErr w:type="spellStart"/>
      <w:r w:rsidR="001024BF" w:rsidRPr="001024BF">
        <w:rPr>
          <w:rFonts w:ascii="Times New Roman" w:hAnsi="Times New Roman" w:cs="Times New Roman"/>
          <w:sz w:val="28"/>
          <w:szCs w:val="28"/>
        </w:rPr>
        <w:t>Новочелны-Сюрбеевского</w:t>
      </w:r>
      <w:proofErr w:type="spellEnd"/>
      <w:r w:rsidR="001024BF" w:rsidRPr="001024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C2375" w:rsidRPr="0033141E" w:rsidRDefault="00AC2375" w:rsidP="00AC23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41E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AC2375" w:rsidRDefault="00AC2375" w:rsidP="00AC23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Новочелны-Сюрбеевского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C2375" w:rsidRPr="0033141E" w:rsidRDefault="00AC2375" w:rsidP="00AC23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Н.В.Ильина</w:t>
      </w:r>
      <w:r w:rsidRPr="003314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AC2375" w:rsidRPr="0033141E" w:rsidRDefault="00AC2375" w:rsidP="00AC23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375" w:rsidRPr="0033141E" w:rsidRDefault="00AC2375" w:rsidP="00AC23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</w:t>
      </w:r>
      <w:r w:rsidRPr="003314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Г.Г.Ракчеев</w:t>
      </w:r>
      <w:proofErr w:type="spellEnd"/>
      <w:r w:rsidRPr="003314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3314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0015" w:rsidRDefault="00DB7F3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1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493" w:rsidRDefault="00304493" w:rsidP="00304493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C0140" w:rsidRDefault="007C0140" w:rsidP="00304493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C0140" w:rsidRDefault="007C0140" w:rsidP="00304493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DB7F35" w:rsidRPr="00E0127C" w:rsidRDefault="00DB7F35" w:rsidP="00304493">
      <w:pPr>
        <w:spacing w:before="100" w:after="10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0127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B7F35" w:rsidRDefault="00304493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B7F35" w:rsidRPr="00E0127C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DB7F35">
        <w:rPr>
          <w:rFonts w:ascii="Times New Roman" w:hAnsi="Times New Roman" w:cs="Times New Roman"/>
          <w:sz w:val="24"/>
          <w:szCs w:val="24"/>
        </w:rPr>
        <w:t xml:space="preserve">  Собрания  депутатов </w:t>
      </w:r>
    </w:p>
    <w:p w:rsidR="00DB7F35" w:rsidRDefault="00A7001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Новочелны-Сюрбеевского</w:t>
      </w:r>
      <w:proofErr w:type="spellEnd"/>
      <w:r w:rsidR="00DB7F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B7F35" w:rsidRDefault="00DB7F3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Комсомольского района </w:t>
      </w:r>
    </w:p>
    <w:p w:rsidR="00DB7F35" w:rsidRDefault="007C0140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11.07.</w:t>
      </w:r>
      <w:r w:rsidR="00304493">
        <w:rPr>
          <w:rFonts w:ascii="Times New Roman" w:hAnsi="Times New Roman" w:cs="Times New Roman"/>
          <w:sz w:val="24"/>
          <w:szCs w:val="24"/>
        </w:rPr>
        <w:t xml:space="preserve"> 2019 г. № </w:t>
      </w:r>
      <w:r>
        <w:rPr>
          <w:rFonts w:ascii="Times New Roman" w:hAnsi="Times New Roman" w:cs="Times New Roman"/>
          <w:sz w:val="24"/>
          <w:szCs w:val="24"/>
        </w:rPr>
        <w:t>2/93</w:t>
      </w:r>
    </w:p>
    <w:p w:rsidR="00DB7F35" w:rsidRPr="00E0127C" w:rsidRDefault="00DB7F35" w:rsidP="00E0127C">
      <w:pPr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F35" w:rsidRPr="00E0127C" w:rsidRDefault="00DB7F35" w:rsidP="00E0127C">
      <w:pPr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127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7F35" w:rsidRPr="00884A7F" w:rsidRDefault="00DB7F35" w:rsidP="00EF7D49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3F4E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  <w:r w:rsidRPr="00F23F4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 проведении публичных слушаний или общественных обсуждений по вопросам градостроительной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="00A70015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3F4E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Комсомольского района Чувашской республики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F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F4E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устанавливает в соответствии с Градостроительным кодексом Российской Федерации, Федеральным законом от 6 октября 2003 года N 131-ФЗ “Об общих принципах организации местного самоуправления в Российской Федерации”, порядок организации и проведения публичных слушаний по вопросам градостроител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ьной деятельности на территории  </w:t>
      </w:r>
      <w:proofErr w:type="spellStart"/>
      <w:r w:rsidR="00A70015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Комсомольского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(далее – публичные слушания или общественные обсуждения).</w:t>
      </w:r>
      <w:proofErr w:type="gramEnd"/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 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Публичные слушания или общественные обсуждения проводятся по инициативе жителей сельского поселения (далее – жителей), Собрания депутатов </w:t>
      </w:r>
      <w:proofErr w:type="spellStart"/>
      <w:r w:rsidR="00A70015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или </w:t>
      </w:r>
      <w:r w:rsidR="00304493">
        <w:rPr>
          <w:rFonts w:ascii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304493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поселения. Публичные слушания или общественные обсуждения, проводимые по инициативе жителей или Собранием депутатов </w:t>
      </w:r>
      <w:proofErr w:type="spellStart"/>
      <w:r w:rsidR="00A70015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поселения, назначаются Собранием депутатов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0015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поселения, по инициативе </w:t>
      </w:r>
      <w:r w:rsidR="00304493">
        <w:rPr>
          <w:rFonts w:ascii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304493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4493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  – г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лавой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0015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Уполномоченным органом на проведение публичных слушаний или общественных обсуждений является </w:t>
      </w:r>
      <w:r w:rsidR="0030449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дминистрация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0015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Комсомольского района Чувашской Р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еспублики.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Коллегиальным органом, обеспечивающим проведение публичных слушаний или общественных обсуждений, является постоянно действующая комиссия по Правилам землепользования и застройки сельского поселения (далее – Комиссия).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Срок проведения публичных слушаний или общественных обсуждений (продолжительность) – период, в течение которого проводятся публичные слушания или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Протокол публичных слушаний или общественных обсуждений – 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замечания участников публичных слушаний или общественных обсуждений, а в случаях, установленных настоящим Положением, итоги голосования.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 – документ, содержащий рекомендации, выработанные по итогам проведения публичных слушаний.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1.4. Публичные слушания проводятся по нерабочим дням с 9 до 18 часов по местному времени либо по рабочим дням по индивидуальному графику,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согласно постановления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228D">
        <w:rPr>
          <w:rFonts w:ascii="Times New Roman" w:hAnsi="Times New Roman" w:cs="Times New Roman"/>
          <w:sz w:val="24"/>
          <w:szCs w:val="24"/>
          <w:lang w:eastAsia="ru-RU"/>
        </w:rPr>
        <w:t xml:space="preserve">главы сельского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поселения. Местом проведения публичных слушаний могут быть актовые залы, нежилые общественные помещения, административные здания, а также иные помещения по работе с населением по месту жительства. 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F4E">
        <w:rPr>
          <w:rFonts w:ascii="Times New Roman" w:hAnsi="Times New Roman" w:cs="Times New Roman"/>
          <w:sz w:val="24"/>
          <w:szCs w:val="24"/>
          <w:lang w:eastAsia="ru-RU"/>
        </w:rPr>
        <w:t>2. Проекты муниципальных правовых актов и вопросы, подлежащие вынесению на публичные слушания или общественные обсуждения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Решения, принятые на публичных слушаниях или общественных обсуждениях, носят рекомендательный характер.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2.2. На публичные слушания или общественные обсуждения в обязательном порядке выносятся: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– проекты генерального плана поселения, в том числе по внесению в него изменений;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–  проекты правил землепользования и застройки поселения, в том числе по внесению в них изменений;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– проекты документации по планировке территории и проекты внесения изменений в них;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проекты документации по межеванию территорий и проекты внесения изменений в них;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– вопросы предоставления разрешения на условно разрешенный вид использования земельного участка или объекта капитального строительства (далее – разрешения на условно разрешенный вид использования);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–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– проекты правил благоустройства и проекты внесения изменений в них.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23F4E">
        <w:rPr>
          <w:rFonts w:ascii="Times New Roman" w:hAnsi="Times New Roman" w:cs="Times New Roman"/>
          <w:sz w:val="24"/>
          <w:szCs w:val="24"/>
          <w:lang w:eastAsia="ru-RU"/>
        </w:rPr>
        <w:t>3. Оповещение населения о начале общественных обсуждений или публичных слушаний</w:t>
      </w:r>
    </w:p>
    <w:p w:rsidR="00DB7F35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14 дней до даты их проведения путем опубликования постановления </w:t>
      </w:r>
      <w:r w:rsidR="00E1228D">
        <w:rPr>
          <w:rFonts w:ascii="Times New Roman" w:hAnsi="Times New Roman" w:cs="Times New Roman"/>
          <w:sz w:val="24"/>
          <w:szCs w:val="24"/>
          <w:lang w:eastAsia="ru-RU"/>
        </w:rPr>
        <w:t xml:space="preserve">главы сельского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о назначении публичных слушаний общественных обс</w:t>
      </w:r>
      <w:r w:rsidR="00EA3D0E">
        <w:rPr>
          <w:rFonts w:ascii="Times New Roman" w:hAnsi="Times New Roman" w:cs="Times New Roman"/>
          <w:sz w:val="24"/>
          <w:szCs w:val="24"/>
          <w:lang w:eastAsia="ru-RU"/>
        </w:rPr>
        <w:t xml:space="preserve">уждений в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информационном </w:t>
      </w:r>
      <w:r w:rsidR="00EA3D0E">
        <w:rPr>
          <w:rFonts w:ascii="Times New Roman" w:hAnsi="Times New Roman" w:cs="Times New Roman"/>
          <w:sz w:val="24"/>
          <w:szCs w:val="24"/>
          <w:lang w:eastAsia="ru-RU"/>
        </w:rPr>
        <w:t xml:space="preserve">бюллетене </w:t>
      </w:r>
      <w:proofErr w:type="spellStart"/>
      <w:r w:rsidR="00A70015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Комсомольского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«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естник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70015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Комсомольского района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DB7F35" w:rsidRPr="00884A7F" w:rsidRDefault="00EA3D0E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Одновременно постановление </w:t>
      </w:r>
      <w:r w:rsidR="00E1228D">
        <w:rPr>
          <w:rFonts w:ascii="Times New Roman" w:hAnsi="Times New Roman" w:cs="Times New Roman"/>
          <w:sz w:val="24"/>
          <w:szCs w:val="24"/>
          <w:lang w:eastAsia="ru-RU"/>
        </w:rPr>
        <w:t>главы сельского</w:t>
      </w:r>
      <w:r w:rsidR="00DB7F35"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о публичных слушаниях общественных обсуждений ра</w:t>
      </w:r>
      <w:r>
        <w:rPr>
          <w:rFonts w:ascii="Times New Roman" w:hAnsi="Times New Roman" w:cs="Times New Roman"/>
          <w:sz w:val="24"/>
          <w:szCs w:val="24"/>
          <w:lang w:eastAsia="ru-RU"/>
        </w:rPr>
        <w:t>змещается на официальном сайте а</w:t>
      </w:r>
      <w:r w:rsidR="00DB7F35"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E1228D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DB7F35" w:rsidRPr="00884A7F">
        <w:rPr>
          <w:rFonts w:ascii="Times New Roman" w:hAnsi="Times New Roman" w:cs="Times New Roman"/>
          <w:sz w:val="24"/>
          <w:szCs w:val="24"/>
          <w:lang w:eastAsia="ru-RU"/>
        </w:rPr>
        <w:t>поселения в информационно-телекоммуникационной сети «Интернет».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3.2. Дополнительно 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3.3. В объявлении о проведении публичных слушаний или общественных обсуждений должна содержаться информация: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DB7F35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DB7F35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Оповещение о начале общественных обсуждений или публичных слушаний:</w:t>
      </w:r>
    </w:p>
    <w:p w:rsidR="00DB7F35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1) не позднее,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  <w:proofErr w:type="gramEnd"/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2) распространяется на информационных стендах, оборудованных около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здания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настоящей статьи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Проекты муниципальных правовых актов, перечисленные в пункте 2.2 настоящего Положения должны быть предварительно опубликованы (обнародованы)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информационном </w:t>
      </w:r>
      <w:r w:rsidR="00EA3D0E">
        <w:rPr>
          <w:rFonts w:ascii="Times New Roman" w:hAnsi="Times New Roman" w:cs="Times New Roman"/>
          <w:sz w:val="24"/>
          <w:szCs w:val="24"/>
          <w:lang w:eastAsia="ru-RU"/>
        </w:rPr>
        <w:t>бюллетене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0015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Комсомольского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«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естник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70015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Комсомольского района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»    и </w:t>
      </w:r>
      <w:r w:rsidR="00304493">
        <w:rPr>
          <w:rFonts w:ascii="Times New Roman" w:hAnsi="Times New Roman" w:cs="Times New Roman"/>
          <w:sz w:val="24"/>
          <w:szCs w:val="24"/>
          <w:lang w:eastAsia="ru-RU"/>
        </w:rPr>
        <w:t>размещены на официальном сайте а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E1228D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поселения в информационно–телекоммуникационной сети «Интернет» не менее чем за 14 календарных дней до дня проведения публичных слушаний или общественных обсуждений.</w:t>
      </w:r>
      <w:proofErr w:type="gramEnd"/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Вопросы, подлежащие рассмотрению на общественных обсуждениях или публичных слушаниях, перечисленные в пункте 2.2 настоящего Положения, распространяются на информационных стендах, оборудованных около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здания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5.2.1. настоящего Положения (далее –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23F4E">
        <w:rPr>
          <w:rFonts w:ascii="Times New Roman" w:hAnsi="Times New Roman" w:cs="Times New Roman"/>
          <w:sz w:val="24"/>
          <w:szCs w:val="24"/>
          <w:lang w:eastAsia="ru-RU"/>
        </w:rPr>
        <w:t>4. Процедура проведения общественных обсуждений или публичных слушаний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4.1. Процедура проведения общественных обсуждений состоит из следующих этапов:</w:t>
      </w:r>
    </w:p>
    <w:p w:rsidR="00DB7F35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1) оповещение о начале общественных обсуждений;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“Интернет” (далее в настоящей статье –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“Интернет” (далее также – сеть “Интернет”), либо на региональном портале государственных и муниципальных услуг (далее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настоящей статье – информационные системы) и открытие экспозиции или экспозиций такого проекта;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4) подготовка и оформление протокола общественных обсуждений;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5) подготовка и опубликование заключения о результатах общественных обсуждений.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4.2. Процедура проведения публичных слушаний состоит из следующих этапов: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1) оповещение о начале публичных слушаний;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4) проведение собрания или собраний участников публичных слушаний;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5) подготовка и оформление протокола публичных слушаний;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6) подготовка и опубликование заключения о результатах публичных слушаний.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23F4E">
        <w:rPr>
          <w:rFonts w:ascii="Times New Roman" w:hAnsi="Times New Roman" w:cs="Times New Roman"/>
          <w:sz w:val="24"/>
          <w:szCs w:val="24"/>
          <w:lang w:eastAsia="ru-RU"/>
        </w:rPr>
        <w:t>5. Порядок организации и проведения публичных слушаний или общественных обсуждений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В период размещения в соответствии с пунктом 2 части 4.1. и пунктом 2 части     4.2.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5.3 настоящего Положения идентификацию, имеют право вносить предложения и замечания, касающиеся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такого проекта: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посредством официального сайта или информационных систем (в случае проведения общественных обсуждений);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5.1.1. Предложения и замечания, внесенные в соответствии с </w:t>
      </w:r>
      <w:hyperlink r:id="rId7" w:anchor="Par217" w:history="1">
        <w:r w:rsidRPr="00F23F4E">
          <w:rPr>
            <w:rFonts w:ascii="Times New Roman" w:hAnsi="Times New Roman" w:cs="Times New Roman"/>
            <w:sz w:val="24"/>
            <w:szCs w:val="24"/>
            <w:lang w:eastAsia="ru-RU"/>
          </w:rPr>
          <w:t>частью 5.1.</w:t>
        </w:r>
      </w:hyperlink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r:id="rId8" w:anchor="Par226" w:history="1">
        <w:r w:rsidRPr="00F23F4E">
          <w:rPr>
            <w:rFonts w:ascii="Times New Roman" w:hAnsi="Times New Roman" w:cs="Times New Roman"/>
            <w:sz w:val="24"/>
            <w:szCs w:val="24"/>
            <w:lang w:eastAsia="ru-RU"/>
          </w:rPr>
          <w:t>частью 5.3.3 настоящего Положения.</w:t>
        </w:r>
      </w:hyperlink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5.2.1.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проекты, а в случае, предусмотренном </w:t>
      </w:r>
      <w:hyperlink r:id="rId9" w:anchor="Par1502" w:history="1">
        <w:r w:rsidRPr="00F23F4E">
          <w:rPr>
            <w:rFonts w:ascii="Times New Roman" w:hAnsi="Times New Roman" w:cs="Times New Roman"/>
            <w:sz w:val="24"/>
            <w:szCs w:val="24"/>
            <w:lang w:eastAsia="ru-RU"/>
          </w:rPr>
          <w:t>частью 3 статьи 39</w:t>
        </w:r>
      </w:hyperlink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или публичных слушаний, являющиеся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5.3.1. Не требуется представление указанных в части 5.3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r:id="rId10" w:anchor="Par223" w:history="1">
        <w:r w:rsidRPr="00F23F4E">
          <w:rPr>
            <w:rFonts w:ascii="Times New Roman" w:hAnsi="Times New Roman" w:cs="Times New Roman"/>
            <w:sz w:val="24"/>
            <w:szCs w:val="24"/>
            <w:lang w:eastAsia="ru-RU"/>
          </w:rPr>
          <w:t>части 4.2.</w:t>
        </w:r>
      </w:hyperlink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может использоваться единая система идентификац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>тентификации.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5.3.2.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“О персональных данных”.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5.3.3. Предложения и замечания, внесенные в соответствии с </w:t>
      </w:r>
      <w:hyperlink r:id="rId11" w:anchor="Par217" w:history="1">
        <w:r w:rsidRPr="00F23F4E">
          <w:rPr>
            <w:rFonts w:ascii="Times New Roman" w:hAnsi="Times New Roman" w:cs="Times New Roman"/>
            <w:sz w:val="24"/>
            <w:szCs w:val="24"/>
            <w:lang w:eastAsia="ru-RU"/>
          </w:rPr>
          <w:t>частью 5.1</w:t>
        </w:r>
      </w:hyperlink>
      <w:r w:rsidRPr="00884A7F">
        <w:rPr>
          <w:rFonts w:ascii="Times New Roman" w:hAnsi="Times New Roman" w:cs="Times New Roman"/>
          <w:sz w:val="24"/>
          <w:szCs w:val="24"/>
          <w:lang w:eastAsia="ru-RU"/>
        </w:rPr>
        <w:t>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самоуправления, подведомственных им организаций).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5.5. Официальный сайт и (или) информационные системы должны обеспечивать возможность: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1) дата оформления протокола общественных обсуждений или публичных слушаний;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2) информация об организаторе общественных обсуждений или публичных слушаний;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5.7.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  <w:proofErr w:type="gramEnd"/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5.10. В заключении о результатах общественных обсуждений или публичных слушаний должны быть указаны: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1) дата оформления заключения о результатах общественных обсуждений или публичных слушаний;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публичных слушаний, которые приняли участие в общественных обсуждениях или публичных слушаниях;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F4E">
        <w:rPr>
          <w:rFonts w:ascii="Times New Roman" w:hAnsi="Times New Roman" w:cs="Times New Roman"/>
          <w:sz w:val="24"/>
          <w:szCs w:val="24"/>
          <w:lang w:eastAsia="ru-RU"/>
        </w:rPr>
        <w:t>6. Публичные слушания или общественные обсуждения по проектам генерального плана сельского поселения, в том числе по внесению в них изменений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6.1. Публичные слушания или общественные осуждения по проекту генерального плана сельского поселения, а также по внесен</w:t>
      </w:r>
      <w:r w:rsidR="00304493">
        <w:rPr>
          <w:rFonts w:ascii="Times New Roman" w:hAnsi="Times New Roman" w:cs="Times New Roman"/>
          <w:sz w:val="24"/>
          <w:szCs w:val="24"/>
          <w:lang w:eastAsia="ru-RU"/>
        </w:rPr>
        <w:t>ию в него изменений организует а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дминистрация поселения в соответствии с положениями </w:t>
      </w:r>
      <w:hyperlink r:id="rId12" w:history="1">
        <w:r w:rsidRPr="00F23F4E">
          <w:rPr>
            <w:rFonts w:ascii="Times New Roman" w:hAnsi="Times New Roman" w:cs="Times New Roman"/>
            <w:sz w:val="24"/>
            <w:szCs w:val="24"/>
            <w:lang w:eastAsia="ru-RU"/>
          </w:rPr>
          <w:t>статьи 28</w:t>
        </w:r>
      </w:hyperlink>
      <w:r w:rsidRPr="00884A7F">
        <w:rPr>
          <w:rFonts w:ascii="Times New Roman" w:hAnsi="Times New Roman" w:cs="Times New Roman"/>
          <w:sz w:val="24"/>
          <w:szCs w:val="24"/>
          <w:lang w:eastAsia="ru-RU"/>
        </w:rPr>
        <w:t> Градостроительного кодекса Российской Федерации с жителями определенных частей территории сельского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6.2. Публичные слушания или общественные осуждения проводятся в каждом населенном пункте муниципального образования – сельского поселения. В случае внесения изменений в генеральный план в отношении части территории поселения публичные слушания или общественные осуждения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публичных слушаний или общественных осуждений в целях обеспечения всем заинтересованным лицам равных возможностей для участия в публичных слушаниях или общественных осуждениях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на такой части территории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>, устанавливается законом Чувашской Республики исходя из требования обеспечения всем заинтересованным лицам равных возможностей для выражения своего мнения.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6.3. В целях доведения до жителей информации о содержании проекта генераль</w:t>
      </w:r>
      <w:r w:rsidR="00304493">
        <w:rPr>
          <w:rFonts w:ascii="Times New Roman" w:hAnsi="Times New Roman" w:cs="Times New Roman"/>
          <w:sz w:val="24"/>
          <w:szCs w:val="24"/>
          <w:lang w:eastAsia="ru-RU"/>
        </w:rPr>
        <w:t>ного плана сельского поселения а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дминистрация поселения в обязательном порядке организует выставки, экспозиции демонстрационных материалов проектов генеральных планов, выступления представителей органов местного самоуправления, разработчиков проектов генеральных планов на собраниях жителей, в печатных средствах массовой информации.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6.4. Участники публичных слушаний или общественных </w:t>
      </w:r>
      <w:r w:rsidR="00304493">
        <w:rPr>
          <w:rFonts w:ascii="Times New Roman" w:hAnsi="Times New Roman" w:cs="Times New Roman"/>
          <w:sz w:val="24"/>
          <w:szCs w:val="24"/>
          <w:lang w:eastAsia="ru-RU"/>
        </w:rPr>
        <w:t>осуждений вправе представить в а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дминистрацию поселения свои предложения и замечания, касающиеся проекта генерального плана сельского поселения, для включения их в протокол публичных слушаний или общественных осуждений.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6.5.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Срок проведения публичных слушаний или общественных осуждений с момента оповещения жителей сельских поселений об их проведении до дня опубликования заключения о результатах публичных слушаний или общественных осуждений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6.6. Глава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с учетом заключения о результатах публичных слушаний принимает решение: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1) о согласии с проектом генерального плана и направлении его в 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>Собрание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 поселения;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2) об отклонении проекта генерального плана и о направлении его на доработку.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23F4E">
        <w:rPr>
          <w:rFonts w:ascii="Times New Roman" w:hAnsi="Times New Roman" w:cs="Times New Roman"/>
          <w:sz w:val="24"/>
          <w:szCs w:val="24"/>
          <w:lang w:eastAsia="ru-RU"/>
        </w:rPr>
        <w:t>7. Публичные слушания или общественные обсуждения по проекту Правил землепользования и застройки сельского поселения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7.1. Публичные слушания или общественные осуждения по проекту Правил землепользования и застройки сельского поселения (далее – Правила),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(далее – комиссия). Оповещение жителей о публичных слушаниях или общественных осуждений проводится в порядке, установленном настоящим Положением.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7.2. Продолжительность публичных слушаний или общественных осуждений по проекту Правил составляет не менее двух и не более четырех месяцев со дня опубликования такого проекта.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7.3. В случае подготовки правил землепользования и застройки применительно к части территории поселения публичные слушания или общественные осуждения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или общественных осуждений не может быть более чем один месяц.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7.4.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В случае если внесение изменений в Правила связано с размещением или реконструкцией отдельного объекта капитального строительства, публичные слушания или общественные осуждения по предложению о внесении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При этом комиссия направляет извещения о проведении публичных слушаний или общественных осуждений по предложению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не более чем через 15 дней со дня принятия </w:t>
      </w:r>
      <w:r w:rsidR="0030449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лавой поселения решения о проведении публичных слушаний или общественных осуждений по предложению о внесении изменений в Правила.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7.5.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7.6. После завершения публичных слушаний или общественных осуждений по проекту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Правил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комиссия с учетом результатов публичных слушаний или общественных осуждений обеспечивает внесение изменений в проект Правил и представляет указанный проект </w:t>
      </w:r>
      <w:r w:rsidR="0030449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A70015">
        <w:rPr>
          <w:rFonts w:ascii="Times New Roman" w:hAnsi="Times New Roman" w:cs="Times New Roman"/>
          <w:sz w:val="24"/>
          <w:szCs w:val="24"/>
          <w:lang w:eastAsia="ru-RU"/>
        </w:rPr>
        <w:t>лаве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поселения. Обязательными приложениями к проекту Правил являются протокол публичных слушаний или общественных осуждений и заключение о результатах публичных слушаний или общественных осуждений,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7.7.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304493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десяти дней после представления ему проекта правил землепользования и застройки и указанных в части 7.6. настоящего Положения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23F4E">
        <w:rPr>
          <w:rFonts w:ascii="Times New Roman" w:hAnsi="Times New Roman" w:cs="Times New Roman"/>
          <w:sz w:val="24"/>
          <w:szCs w:val="24"/>
          <w:lang w:eastAsia="ru-RU"/>
        </w:rPr>
        <w:t>8. Публичные слушания или общественные обсуждения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на отклонение от предельных параметров разрешенного строительства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8.1.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 организуются и проводятся комиссией.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8.2. Работа комиссии осуществляется по мере необходимости при поступлении заявления от заинтересованных физических или юридических лиц (далее – заявитель). Заявление подается на имя председателя комиссии. Форма такого заявления и перечень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прилагаемых к нему документ</w:t>
      </w:r>
      <w:r w:rsidR="00304493">
        <w:rPr>
          <w:rFonts w:ascii="Times New Roman" w:hAnsi="Times New Roman" w:cs="Times New Roman"/>
          <w:sz w:val="24"/>
          <w:szCs w:val="24"/>
          <w:lang w:eastAsia="ru-RU"/>
        </w:rPr>
        <w:t>ов утверждаются постановлением а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дминистрации поселения.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земельный участок или объект 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16A">
        <w:rPr>
          <w:rFonts w:ascii="Times New Roman" w:hAnsi="Times New Roman" w:cs="Times New Roman"/>
          <w:sz w:val="24"/>
          <w:szCs w:val="24"/>
          <w:lang w:eastAsia="ru-RU"/>
        </w:rPr>
        <w:t>8.5.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8.6. Расходы,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8.7.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 w:rsidR="0030449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A70015">
        <w:rPr>
          <w:rFonts w:ascii="Times New Roman" w:hAnsi="Times New Roman" w:cs="Times New Roman"/>
          <w:sz w:val="24"/>
          <w:szCs w:val="24"/>
          <w:lang w:eastAsia="ru-RU"/>
        </w:rPr>
        <w:t>лаве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8.8. На основании указанных в </w:t>
      </w:r>
      <w:hyperlink r:id="rId13" w:anchor="Par1509" w:history="1">
        <w:r w:rsidRPr="00F23F4E">
          <w:rPr>
            <w:rFonts w:ascii="Times New Roman" w:hAnsi="Times New Roman" w:cs="Times New Roman"/>
            <w:sz w:val="24"/>
            <w:szCs w:val="24"/>
            <w:lang w:eastAsia="ru-RU"/>
          </w:rPr>
          <w:t>части 8</w:t>
        </w:r>
      </w:hyperlink>
      <w:r w:rsidRPr="00884A7F">
        <w:rPr>
          <w:rFonts w:ascii="Times New Roman" w:hAnsi="Times New Roman" w:cs="Times New Roman"/>
          <w:sz w:val="24"/>
          <w:szCs w:val="24"/>
          <w:lang w:eastAsia="ru-RU"/>
        </w:rPr>
        <w:t>.7. нас</w:t>
      </w:r>
      <w:r w:rsidR="00304493">
        <w:rPr>
          <w:rFonts w:ascii="Times New Roman" w:hAnsi="Times New Roman" w:cs="Times New Roman"/>
          <w:sz w:val="24"/>
          <w:szCs w:val="24"/>
          <w:lang w:eastAsia="ru-RU"/>
        </w:rPr>
        <w:t>тоящего Положения рекомендаций г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</w:t>
      </w:r>
      <w:r w:rsidR="001C2B01">
        <w:rPr>
          <w:rFonts w:ascii="Times New Roman" w:hAnsi="Times New Roman" w:cs="Times New Roman"/>
          <w:sz w:val="24"/>
          <w:szCs w:val="24"/>
          <w:lang w:eastAsia="ru-RU"/>
        </w:rPr>
        <w:t>е администрации поселения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(при наличии официального сайта </w:t>
      </w:r>
      <w:r w:rsidR="001C2B01">
        <w:rPr>
          <w:rFonts w:ascii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) в сети “Интернет”.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8.9. В случае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23F4E">
        <w:rPr>
          <w:rFonts w:ascii="Times New Roman" w:hAnsi="Times New Roman" w:cs="Times New Roman"/>
          <w:sz w:val="24"/>
          <w:szCs w:val="24"/>
          <w:lang w:eastAsia="ru-RU"/>
        </w:rPr>
        <w:t>9. Публичные слушания или общественные обсуждения по проекту планировки территории и проектам межевания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9.1. Публичные слушания или общественные обсуждения по проекту планировки территории, а также по проекту м</w:t>
      </w:r>
      <w:r w:rsidR="001C2B01">
        <w:rPr>
          <w:rFonts w:ascii="Times New Roman" w:hAnsi="Times New Roman" w:cs="Times New Roman"/>
          <w:sz w:val="24"/>
          <w:szCs w:val="24"/>
          <w:lang w:eastAsia="ru-RU"/>
        </w:rPr>
        <w:t>ежевания организует и проводит а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дминистрация поселения в соответствии с положениями статьи 46 Градостроительного кодекса Российской Федерации.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Публичные слушания или общественные обсуждения по проекту планировки и проекту межевания территории проводятся с участием граждан, проживающих на территории,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9.3. Общественные обсуждения или публичные слушания по проекту планировки территории и проекту межевания территории проводятся в порядке, установленном статьей 5.1 Градостроительного кодекса Российской Федерации.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9.4. Участники публичных слушаний или общественных о</w:t>
      </w:r>
      <w:r w:rsidR="001C2B01">
        <w:rPr>
          <w:rFonts w:ascii="Times New Roman" w:hAnsi="Times New Roman" w:cs="Times New Roman"/>
          <w:sz w:val="24"/>
          <w:szCs w:val="24"/>
          <w:lang w:eastAsia="ru-RU"/>
        </w:rPr>
        <w:t>бсуждений вправе представить в а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9.5.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23F4E">
        <w:rPr>
          <w:rFonts w:ascii="Times New Roman" w:hAnsi="Times New Roman" w:cs="Times New Roman"/>
          <w:sz w:val="24"/>
          <w:szCs w:val="24"/>
          <w:lang w:eastAsia="ru-RU"/>
        </w:rPr>
        <w:t>10. Публичные слушания или общественные обсуждения по проекту правил благоустройства территорий и изменений в них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10.1. Публичные слушания или общественные осуждения по проекту правил благоустройства территории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поселения, а также по внесению в них изменений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организует </w:t>
      </w:r>
      <w:r w:rsidR="001C2B0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поселения в соответствии с положениями </w:t>
      </w:r>
      <w:hyperlink r:id="rId14" w:history="1">
        <w:r w:rsidRPr="00F23F4E">
          <w:rPr>
            <w:rFonts w:ascii="Times New Roman" w:hAnsi="Times New Roman" w:cs="Times New Roman"/>
            <w:sz w:val="24"/>
            <w:szCs w:val="24"/>
            <w:lang w:eastAsia="ru-RU"/>
          </w:rPr>
          <w:t>статьи 5.1.</w:t>
        </w:r>
      </w:hyperlink>
      <w:r w:rsidRPr="00884A7F">
        <w:rPr>
          <w:rFonts w:ascii="Times New Roman" w:hAnsi="Times New Roman" w:cs="Times New Roman"/>
          <w:sz w:val="24"/>
          <w:szCs w:val="24"/>
          <w:lang w:eastAsia="ru-RU"/>
        </w:rPr>
        <w:t> Градостроительного кодекса Российской Федерации, настоящего Положения, с жителями территории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10.2.Срок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10.3. Участники публичных слушаний или общественных о</w:t>
      </w:r>
      <w:r w:rsidR="001C2B01">
        <w:rPr>
          <w:rFonts w:ascii="Times New Roman" w:hAnsi="Times New Roman" w:cs="Times New Roman"/>
          <w:sz w:val="24"/>
          <w:szCs w:val="24"/>
          <w:lang w:eastAsia="ru-RU"/>
        </w:rPr>
        <w:t>бсуждений вправе представить в а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10.4. После завершения публичных слушаний или общественных осуждений по проекту Правил благоустройства территории поселения, указанный проект Правил представляется </w:t>
      </w:r>
      <w:r w:rsidR="00EA3D0E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A70015">
        <w:rPr>
          <w:rFonts w:ascii="Times New Roman" w:hAnsi="Times New Roman" w:cs="Times New Roman"/>
          <w:sz w:val="24"/>
          <w:szCs w:val="24"/>
          <w:lang w:eastAsia="ru-RU"/>
        </w:rPr>
        <w:t>лаве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поселения. Обязательными приложениями к проекту Правил благоустройства территории поселения являются протокол публичных слушаний или общественных осуждений.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10.5. Глава 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в течение десяти дней после представления ему проекта правил благоустройства территории 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и указанных в части 10.4. настоящего Положения обязательных приложений направляет указанный проект  Собранию депутатов </w:t>
      </w:r>
      <w:proofErr w:type="spellStart"/>
      <w:r w:rsidR="00A70015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Комсомольского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для рассмотрения и утверждения.</w:t>
      </w:r>
    </w:p>
    <w:p w:rsidR="00DB7F35" w:rsidRPr="00884A7F" w:rsidRDefault="00DB7F35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2675A" w:rsidRDefault="0062675A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75A" w:rsidRDefault="0062675A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75A" w:rsidRDefault="0062675A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75A" w:rsidRDefault="0062675A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75A" w:rsidRDefault="0062675A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75A" w:rsidRDefault="0062675A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75A" w:rsidRDefault="0062675A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75A" w:rsidRDefault="0062675A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75A" w:rsidRDefault="0062675A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75A" w:rsidRDefault="0062675A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F35" w:rsidRDefault="00DB7F35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Приложение 1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br/>
        <w:t>к </w:t>
      </w:r>
      <w:hyperlink r:id="rId15" w:anchor="block_1000" w:history="1">
        <w:r w:rsidRPr="00F23F4E">
          <w:rPr>
            <w:rFonts w:ascii="Times New Roman" w:hAnsi="Times New Roman" w:cs="Times New Roman"/>
            <w:sz w:val="24"/>
            <w:szCs w:val="24"/>
            <w:lang w:eastAsia="ru-RU"/>
          </w:rPr>
          <w:t>Положению</w:t>
        </w:r>
      </w:hyperlink>
      <w:r w:rsidRPr="00884A7F">
        <w:rPr>
          <w:rFonts w:ascii="Times New Roman" w:hAnsi="Times New Roman" w:cs="Times New Roman"/>
          <w:sz w:val="24"/>
          <w:szCs w:val="24"/>
          <w:lang w:eastAsia="ru-RU"/>
        </w:rPr>
        <w:t> об организации и</w:t>
      </w:r>
    </w:p>
    <w:p w:rsidR="00DB7F35" w:rsidRPr="00884A7F" w:rsidRDefault="00DB7F35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общественных обсуждений,</w:t>
      </w:r>
    </w:p>
    <w:p w:rsidR="00DB7F35" w:rsidRPr="00884A7F" w:rsidRDefault="00DB7F35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по вопросам</w:t>
      </w:r>
    </w:p>
    <w:p w:rsidR="00DB7F35" w:rsidRPr="00884A7F" w:rsidRDefault="00DB7F35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градостроительной деятельности</w:t>
      </w:r>
    </w:p>
    <w:p w:rsidR="00DB7F35" w:rsidRPr="00884A7F" w:rsidRDefault="00DB7F35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="00A70015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DB7F35" w:rsidRPr="00884A7F" w:rsidRDefault="00DB7F35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Комсомольского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B7F35" w:rsidRPr="00884A7F" w:rsidRDefault="00DB7F35" w:rsidP="002F6B1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 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Председатель публичных слушаний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общественный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обсуждений) /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 или должностное лицо,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уполномоченное на проведение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публичных</w:t>
      </w:r>
      <w:proofErr w:type="gramEnd"/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слушаний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(Ф.И.О., подпись, дата)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3F4E">
        <w:rPr>
          <w:rFonts w:ascii="Times New Roman" w:hAnsi="Times New Roman" w:cs="Times New Roman"/>
          <w:sz w:val="24"/>
          <w:szCs w:val="24"/>
          <w:lang w:eastAsia="ru-RU"/>
        </w:rPr>
        <w:t>Протокол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общественных обсуждений или публичных слушаний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№ ______ от 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По проекту ___________________________________________________________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3F4E">
        <w:rPr>
          <w:rFonts w:ascii="Times New Roman" w:hAnsi="Times New Roman" w:cs="Times New Roman"/>
          <w:sz w:val="24"/>
          <w:szCs w:val="24"/>
          <w:lang w:eastAsia="ru-RU"/>
        </w:rPr>
        <w:t>(наименование проекта)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Общие сведения о проекте, представленном на публичные слушания: 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2. Заявитель ___________________________________________________________________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 Организация-разработчик _________________________________________________                                       </w:t>
      </w:r>
      <w:r w:rsidRPr="00F23F4E">
        <w:rPr>
          <w:rFonts w:ascii="Times New Roman" w:hAnsi="Times New Roman" w:cs="Times New Roman"/>
          <w:sz w:val="24"/>
          <w:szCs w:val="24"/>
          <w:lang w:eastAsia="ru-RU"/>
        </w:rPr>
        <w:t>(наименование, юридический адрес, телефон, адрес электронной почты)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Правовой акт о назначении общественных обсуждений или публичных слушаний                 ______________________________________________________________________________________</w:t>
      </w:r>
      <w:r w:rsidRPr="00F23F4E">
        <w:rPr>
          <w:rFonts w:ascii="Times New Roman" w:hAnsi="Times New Roman" w:cs="Times New Roman"/>
          <w:sz w:val="24"/>
          <w:szCs w:val="24"/>
          <w:lang w:eastAsia="ru-RU"/>
        </w:rPr>
        <w:t>(дата, номер, заголовок)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Срок проведения общественных обсуждений или публичных слушаний_______________________________________________________________________________________________________________________________________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Формы оповещения о проведении общественных обсуждений или публичных слушаний _____________________________________________________________________________ (название, номер, дата печатных изданий и др. формы)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проведении экспозиции по материалам __________________________________ (где и когда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проведена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Сведения о проведении открытого собрания участников публичных слушаний ______________________________________________________________________________(где и когда проведено, состав и количество участников, количество предложений и замечаний</w:t>
      </w:r>
      <w:proofErr w:type="gramEnd"/>
    </w:p>
    <w:p w:rsidR="00DB7F35" w:rsidRPr="00884A7F" w:rsidRDefault="00DB7F35" w:rsidP="00F23F4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67"/>
        <w:gridCol w:w="1276"/>
      </w:tblGrid>
      <w:tr w:rsidR="00DB7F35" w:rsidRPr="00147DC0">
        <w:trPr>
          <w:tblCellSpacing w:w="15" w:type="dxa"/>
        </w:trPr>
        <w:tc>
          <w:tcPr>
            <w:tcW w:w="0" w:type="auto"/>
            <w:vAlign w:val="center"/>
          </w:tcPr>
          <w:p w:rsidR="00DB7F35" w:rsidRPr="00884A7F" w:rsidRDefault="00DB7F35" w:rsidP="00F23F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общественных обсуждений или публичных слушаний</w:t>
            </w:r>
          </w:p>
        </w:tc>
        <w:tc>
          <w:tcPr>
            <w:tcW w:w="0" w:type="auto"/>
            <w:vAlign w:val="center"/>
          </w:tcPr>
          <w:p w:rsidR="00DB7F35" w:rsidRPr="00884A7F" w:rsidRDefault="00DB7F35" w:rsidP="00F23F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B7F35" w:rsidRPr="00147DC0">
        <w:trPr>
          <w:tblCellSpacing w:w="15" w:type="dxa"/>
        </w:trPr>
        <w:tc>
          <w:tcPr>
            <w:tcW w:w="0" w:type="auto"/>
            <w:vAlign w:val="center"/>
          </w:tcPr>
          <w:p w:rsidR="00DB7F35" w:rsidRPr="00884A7F" w:rsidRDefault="00DB7F35" w:rsidP="00F23F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B7F35" w:rsidRPr="00884A7F" w:rsidRDefault="00DB7F35" w:rsidP="00F23F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F35" w:rsidRPr="00147DC0">
        <w:trPr>
          <w:tblCellSpacing w:w="15" w:type="dxa"/>
        </w:trPr>
        <w:tc>
          <w:tcPr>
            <w:tcW w:w="0" w:type="auto"/>
            <w:vAlign w:val="center"/>
          </w:tcPr>
          <w:p w:rsidR="00DB7F35" w:rsidRPr="00884A7F" w:rsidRDefault="00DB7F35" w:rsidP="00F23F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B7F35" w:rsidRPr="00884A7F" w:rsidRDefault="00DB7F35" w:rsidP="00F23F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F35" w:rsidRPr="00147DC0">
        <w:trPr>
          <w:tblCellSpacing w:w="15" w:type="dxa"/>
        </w:trPr>
        <w:tc>
          <w:tcPr>
            <w:tcW w:w="0" w:type="auto"/>
            <w:vAlign w:val="center"/>
          </w:tcPr>
          <w:p w:rsidR="00DB7F35" w:rsidRPr="00884A7F" w:rsidRDefault="00DB7F35" w:rsidP="00F23F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B7F35" w:rsidRPr="00884A7F" w:rsidRDefault="00DB7F35" w:rsidP="00F23F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F35" w:rsidRPr="00147DC0">
        <w:trPr>
          <w:tblCellSpacing w:w="15" w:type="dxa"/>
        </w:trPr>
        <w:tc>
          <w:tcPr>
            <w:tcW w:w="0" w:type="auto"/>
            <w:vAlign w:val="center"/>
          </w:tcPr>
          <w:p w:rsidR="00DB7F35" w:rsidRPr="00884A7F" w:rsidRDefault="00DB7F35" w:rsidP="00F23F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B7F35" w:rsidRPr="00884A7F" w:rsidRDefault="00DB7F35" w:rsidP="00F23F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F35" w:rsidRPr="00147DC0">
        <w:trPr>
          <w:tblCellSpacing w:w="15" w:type="dxa"/>
        </w:trPr>
        <w:tc>
          <w:tcPr>
            <w:tcW w:w="0" w:type="auto"/>
            <w:vAlign w:val="center"/>
          </w:tcPr>
          <w:p w:rsidR="00DB7F35" w:rsidRPr="00884A7F" w:rsidRDefault="00DB7F35" w:rsidP="00F23F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B7F35" w:rsidRPr="00884A7F" w:rsidRDefault="00DB7F35" w:rsidP="00F23F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7F35" w:rsidRPr="00884A7F" w:rsidRDefault="00DB7F35" w:rsidP="00F23F4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7F35" w:rsidRPr="00884A7F" w:rsidRDefault="00DB7F35" w:rsidP="00F23F4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Подпись: секретарь общественных обсуждений или публичных слушаний</w:t>
      </w:r>
    </w:p>
    <w:p w:rsidR="00DB7F35" w:rsidRPr="00884A7F" w:rsidRDefault="00DB7F35" w:rsidP="00F23F4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2675A" w:rsidRDefault="0062675A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75A" w:rsidRDefault="0062675A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75A" w:rsidRDefault="0062675A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75A" w:rsidRDefault="0062675A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75A" w:rsidRDefault="0062675A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br/>
        <w:t>к </w:t>
      </w:r>
      <w:hyperlink r:id="rId16" w:anchor="block_1000" w:history="1">
        <w:r w:rsidRPr="00F23F4E">
          <w:rPr>
            <w:rFonts w:ascii="Times New Roman" w:hAnsi="Times New Roman" w:cs="Times New Roman"/>
            <w:sz w:val="24"/>
            <w:szCs w:val="24"/>
            <w:lang w:eastAsia="ru-RU"/>
          </w:rPr>
          <w:t>Положению</w:t>
        </w:r>
      </w:hyperlink>
      <w:r w:rsidRPr="00884A7F">
        <w:rPr>
          <w:rFonts w:ascii="Times New Roman" w:hAnsi="Times New Roman" w:cs="Times New Roman"/>
          <w:sz w:val="24"/>
          <w:szCs w:val="24"/>
          <w:lang w:eastAsia="ru-RU"/>
        </w:rPr>
        <w:t> об организации и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общественных обсуждений,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по вопросам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градостроительной деятельности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0015">
        <w:rPr>
          <w:rFonts w:ascii="Times New Roman" w:hAnsi="Times New Roman" w:cs="Times New Roman"/>
          <w:sz w:val="24"/>
          <w:szCs w:val="24"/>
          <w:lang w:eastAsia="ru-RU"/>
        </w:rPr>
        <w:t>Новочелны-Сюрбеевского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Комсомольского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 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Председатель публичных слушаний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(общественные обсуждения) /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 или должностное лицо,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уполномоченное на проведение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публичных</w:t>
      </w:r>
      <w:proofErr w:type="gramEnd"/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слушаний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(должность, Ф.И.О., подпись, дата)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3F4E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3F4E">
        <w:rPr>
          <w:rFonts w:ascii="Times New Roman" w:hAnsi="Times New Roman" w:cs="Times New Roman"/>
          <w:sz w:val="24"/>
          <w:szCs w:val="24"/>
          <w:lang w:eastAsia="ru-RU"/>
        </w:rPr>
        <w:t>О РЕЗУЛЬТАТАХ ОБЩЕСТВЕННЫХ ОБСУЖДЕНИЙ ИЛИ ПУБЛИЧНЫХ СЛУШАНИЙ ПО ПРОЕКТУ/ВОПРОСУ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(наименование проекта/вопроса)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Общие сведения о проекте, представленном на общественные обсуждения или публичные слушания:___________________________________________________________________________________________________________________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Заявитель _______________________________________________________________________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Организация-разработчик ______________________________________________________________________________________________________________________________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 (наименование, юридический адрес, телефон, адрес электронной почты)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Правовой акт о назначении общественных обсуждений или публичных слушаний _____________________________________________________________________________(дата, номер, заголовок)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5. Срок проведения общественных обсуждений или публичных слушаний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Формы оповещения о  проведении общественных обсуждений или публичных слушаний (название, номер, дата печатных изданий и др. формы)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проведении экспозиции по материалам (где и когда </w:t>
      </w:r>
      <w:proofErr w:type="gramStart"/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проведена</w:t>
      </w:r>
      <w:proofErr w:type="gramEnd"/>
      <w:r w:rsidRPr="00884A7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Сведения о проведении открытого заседания участников публичных слушаний___________________________________________________________________________________________________________________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  (где  и  когда  проведено,  состав  и  количество   участников, количество предложений и замечаний)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Предложения и замечания участников публичных слушаний Количество Выводы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62675A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Сведения о протоколе общественных обсуждений или публичных слушаний _____________________________________________________________________________(когда утвержден)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Выводы и рекомендации по проведению общественных обсуждений или публичных слушаний по проекту:________________________________________________________________________________________________________________________________________________________________________________________________________________________________</w:t>
      </w:r>
      <w:r w:rsidRPr="00884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Подписи представителей Администрации/членов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A7F">
        <w:rPr>
          <w:rFonts w:ascii="Times New Roman" w:hAnsi="Times New Roman" w:cs="Times New Roman"/>
          <w:sz w:val="24"/>
          <w:szCs w:val="24"/>
          <w:lang w:eastAsia="ru-RU"/>
        </w:rPr>
        <w:t>комиссии ____________________</w:t>
      </w:r>
    </w:p>
    <w:p w:rsidR="00DB7F35" w:rsidRPr="00884A7F" w:rsidRDefault="00DB7F35" w:rsidP="007D7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F35" w:rsidRPr="00F23F4E" w:rsidRDefault="00DB7F35" w:rsidP="00F23F4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7F35" w:rsidRPr="00F23F4E" w:rsidSect="0099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3F9"/>
    <w:multiLevelType w:val="multilevel"/>
    <w:tmpl w:val="E8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147C9"/>
    <w:multiLevelType w:val="multilevel"/>
    <w:tmpl w:val="5968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A0657"/>
    <w:multiLevelType w:val="multilevel"/>
    <w:tmpl w:val="D728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62136"/>
    <w:multiLevelType w:val="multilevel"/>
    <w:tmpl w:val="93D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A4D51"/>
    <w:multiLevelType w:val="multilevel"/>
    <w:tmpl w:val="BF24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2163B"/>
    <w:multiLevelType w:val="multilevel"/>
    <w:tmpl w:val="290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C0CA9"/>
    <w:multiLevelType w:val="multilevel"/>
    <w:tmpl w:val="B47C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80D1D"/>
    <w:multiLevelType w:val="multilevel"/>
    <w:tmpl w:val="6BE8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570DE"/>
    <w:multiLevelType w:val="multilevel"/>
    <w:tmpl w:val="6BA2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D53A6"/>
    <w:multiLevelType w:val="multilevel"/>
    <w:tmpl w:val="91AA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BE36EB"/>
    <w:multiLevelType w:val="multilevel"/>
    <w:tmpl w:val="2B3A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420E5D"/>
    <w:multiLevelType w:val="multilevel"/>
    <w:tmpl w:val="68CE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FE36DA"/>
    <w:multiLevelType w:val="multilevel"/>
    <w:tmpl w:val="07BE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84A7F"/>
    <w:rsid w:val="00045544"/>
    <w:rsid w:val="000A5D61"/>
    <w:rsid w:val="000F7815"/>
    <w:rsid w:val="001024BF"/>
    <w:rsid w:val="00111CE5"/>
    <w:rsid w:val="00147DC0"/>
    <w:rsid w:val="00197143"/>
    <w:rsid w:val="001B6A72"/>
    <w:rsid w:val="001C2B01"/>
    <w:rsid w:val="001D0602"/>
    <w:rsid w:val="001E751B"/>
    <w:rsid w:val="001F58ED"/>
    <w:rsid w:val="00211BB0"/>
    <w:rsid w:val="00241A01"/>
    <w:rsid w:val="002F6B1A"/>
    <w:rsid w:val="00304493"/>
    <w:rsid w:val="0035644F"/>
    <w:rsid w:val="003C6285"/>
    <w:rsid w:val="003F0AEA"/>
    <w:rsid w:val="004222BF"/>
    <w:rsid w:val="004640E5"/>
    <w:rsid w:val="004D76AF"/>
    <w:rsid w:val="004F23C4"/>
    <w:rsid w:val="005D0E6F"/>
    <w:rsid w:val="0062675A"/>
    <w:rsid w:val="006352DD"/>
    <w:rsid w:val="00697D8F"/>
    <w:rsid w:val="006B4CD9"/>
    <w:rsid w:val="006E5EB1"/>
    <w:rsid w:val="00763414"/>
    <w:rsid w:val="007C0140"/>
    <w:rsid w:val="007D7DBE"/>
    <w:rsid w:val="00853181"/>
    <w:rsid w:val="00884A7F"/>
    <w:rsid w:val="008865C4"/>
    <w:rsid w:val="008B0527"/>
    <w:rsid w:val="008B4C48"/>
    <w:rsid w:val="008E109F"/>
    <w:rsid w:val="009016CC"/>
    <w:rsid w:val="009174DA"/>
    <w:rsid w:val="009178DA"/>
    <w:rsid w:val="00921898"/>
    <w:rsid w:val="00931FBC"/>
    <w:rsid w:val="0095416A"/>
    <w:rsid w:val="00997966"/>
    <w:rsid w:val="009B4848"/>
    <w:rsid w:val="009F2FDB"/>
    <w:rsid w:val="00A274C6"/>
    <w:rsid w:val="00A70015"/>
    <w:rsid w:val="00AC2375"/>
    <w:rsid w:val="00AE131B"/>
    <w:rsid w:val="00C061A2"/>
    <w:rsid w:val="00C65818"/>
    <w:rsid w:val="00DB7F35"/>
    <w:rsid w:val="00DD63F7"/>
    <w:rsid w:val="00DF7B97"/>
    <w:rsid w:val="00E0127C"/>
    <w:rsid w:val="00E1228D"/>
    <w:rsid w:val="00E20052"/>
    <w:rsid w:val="00E94A08"/>
    <w:rsid w:val="00EA103A"/>
    <w:rsid w:val="00EA3D0E"/>
    <w:rsid w:val="00EC2F17"/>
    <w:rsid w:val="00EF7D49"/>
    <w:rsid w:val="00F162A1"/>
    <w:rsid w:val="00F23F4E"/>
    <w:rsid w:val="00F3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6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84A7F"/>
    <w:rPr>
      <w:b/>
      <w:bCs/>
    </w:rPr>
  </w:style>
  <w:style w:type="character" w:styleId="a5">
    <w:name w:val="Hyperlink"/>
    <w:basedOn w:val="a0"/>
    <w:uiPriority w:val="99"/>
    <w:semiHidden/>
    <w:rsid w:val="00884A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0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b-adm.ru/wp-content/plugins/mammoth-docx-converter/visual-preview.html" TargetMode="External"/><Relationship Id="rId13" Type="http://schemas.openxmlformats.org/officeDocument/2006/relationships/hyperlink" Target="http://kab-adm.ru/wp-content/plugins/mammoth-docx-converter/visual-preview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ab-adm.ru/wp-content/plugins/mammoth-docx-converter/visual-preview.html" TargetMode="External"/><Relationship Id="rId12" Type="http://schemas.openxmlformats.org/officeDocument/2006/relationships/hyperlink" Target="consultantplus://offline/ref=3EBE076EDD5BD1F7DC23047F51719323961369ADF0E1C13E21198E01EAC8CC6EC9C85E9F68A2D3C0F1l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43201432/1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kab-adm.ru/wp-content/plugins/mammoth-docx-converter/visual-preview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43201432/1/" TargetMode="External"/><Relationship Id="rId10" Type="http://schemas.openxmlformats.org/officeDocument/2006/relationships/hyperlink" Target="http://kab-adm.ru/wp-content/plugins/mammoth-docx-converter/visual-preview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b-adm.ru/wp-content/plugins/mammoth-docx-converter/visual-preview.html" TargetMode="External"/><Relationship Id="rId14" Type="http://schemas.openxmlformats.org/officeDocument/2006/relationships/hyperlink" Target="consultantplus://offline/ref=3EBE076EDD5BD1F7DC23047F51719323961369ADF0E1C13E21198E01EAC8CC6EC9C85E9F68A2D3C0F1l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EC27-C55D-44B7-A4B4-5ED7AE5E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7194</Words>
  <Characters>41009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проведении публичных слушаний или общественных обсуждений по вопросам градостроительной деятельности на территории __________ сельского поселения Комсомольского района Чувашской Республики</vt:lpstr>
    </vt:vector>
  </TitlesOfParts>
  <Company/>
  <LinksUpToDate>false</LinksUpToDate>
  <CharactersWithSpaces>48107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проведении публичных слушаний или общественных обсуждений по вопросам градостроительной деятельности на территории __________ сельского поселения Комсомольского района Чувашской Республики</dc:title>
  <dc:creator>koms_okc1</dc:creator>
  <cp:lastModifiedBy>2</cp:lastModifiedBy>
  <cp:revision>5</cp:revision>
  <dcterms:created xsi:type="dcterms:W3CDTF">2019-07-10T11:32:00Z</dcterms:created>
  <dcterms:modified xsi:type="dcterms:W3CDTF">2019-07-10T11:41:00Z</dcterms:modified>
</cp:coreProperties>
</file>