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="00BE115B" w:rsidRPr="00862990">
        <w:rPr>
          <w:sz w:val="32"/>
          <w:szCs w:val="32"/>
        </w:rPr>
        <w:t>Вурнарского</w:t>
      </w:r>
      <w:proofErr w:type="spellEnd"/>
      <w:r w:rsidR="00BE115B"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8F240F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 мая</w:t>
      </w:r>
      <w:bookmarkStart w:id="0" w:name="_GoBack"/>
      <w:bookmarkEnd w:id="0"/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 w:rsidR="00F216CD">
        <w:rPr>
          <w:b/>
          <w:sz w:val="32"/>
          <w:szCs w:val="32"/>
        </w:rPr>
        <w:t>1</w:t>
      </w:r>
      <w:r w:rsidR="00437AB8">
        <w:rPr>
          <w:b/>
          <w:sz w:val="32"/>
          <w:szCs w:val="32"/>
        </w:rPr>
        <w:t>5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887393">
        <w:rPr>
          <w:b/>
          <w:sz w:val="32"/>
          <w:szCs w:val="32"/>
        </w:rPr>
        <w:t>8</w:t>
      </w:r>
      <w:r w:rsidR="00437AB8">
        <w:rPr>
          <w:b/>
          <w:sz w:val="32"/>
          <w:szCs w:val="32"/>
        </w:rPr>
        <w:t>3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F216CD" w:rsidRDefault="00F216CD" w:rsidP="00F216CD">
      <w:pPr>
        <w:pStyle w:val="Standard"/>
        <w:jc w:val="center"/>
      </w:pPr>
    </w:p>
    <w:p w:rsidR="00437AB8" w:rsidRPr="00437AB8" w:rsidRDefault="00437AB8" w:rsidP="00437AB8">
      <w:pPr>
        <w:rPr>
          <w:sz w:val="20"/>
          <w:szCs w:val="20"/>
        </w:rPr>
      </w:pPr>
    </w:p>
    <w:p w:rsidR="00437AB8" w:rsidRPr="00437AB8" w:rsidRDefault="00437AB8" w:rsidP="00437AB8">
      <w:pPr>
        <w:rPr>
          <w:sz w:val="20"/>
          <w:szCs w:val="20"/>
        </w:rPr>
      </w:pPr>
    </w:p>
    <w:p w:rsidR="00437AB8" w:rsidRPr="00437AB8" w:rsidRDefault="00437AB8" w:rsidP="00437AB8">
      <w:pPr>
        <w:rPr>
          <w:sz w:val="20"/>
          <w:szCs w:val="20"/>
        </w:rPr>
      </w:pPr>
    </w:p>
    <w:tbl>
      <w:tblPr>
        <w:tblW w:w="7338" w:type="dxa"/>
        <w:tblLook w:val="0000" w:firstRow="0" w:lastRow="0" w:firstColumn="0" w:lastColumn="0" w:noHBand="0" w:noVBand="0"/>
      </w:tblPr>
      <w:tblGrid>
        <w:gridCol w:w="3085"/>
        <w:gridCol w:w="1158"/>
        <w:gridCol w:w="3095"/>
      </w:tblGrid>
      <w:tr w:rsidR="00437AB8" w:rsidRPr="00437AB8" w:rsidTr="00437AB8">
        <w:trPr>
          <w:cantSplit/>
          <w:trHeight w:val="420"/>
        </w:trPr>
        <w:tc>
          <w:tcPr>
            <w:tcW w:w="3085" w:type="dxa"/>
          </w:tcPr>
          <w:p w:rsidR="00437AB8" w:rsidRPr="00437AB8" w:rsidRDefault="00437AB8" w:rsidP="002013C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37AB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437AB8" w:rsidRPr="00437AB8" w:rsidRDefault="00437AB8" w:rsidP="002013C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37AB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437AB8" w:rsidRPr="00437AB8" w:rsidRDefault="00437AB8" w:rsidP="002013CE">
            <w:pPr>
              <w:jc w:val="center"/>
              <w:rPr>
                <w:sz w:val="20"/>
                <w:szCs w:val="20"/>
              </w:rPr>
            </w:pPr>
            <w:r w:rsidRPr="00437AB8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E7A7092" wp14:editId="6A3D812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-461645</wp:posOffset>
                  </wp:positionV>
                  <wp:extent cx="685800" cy="68580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437AB8" w:rsidRPr="00437AB8" w:rsidRDefault="00437AB8" w:rsidP="002013C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37AB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ЧУВАШСКАЯ РЕСПУБЛИКА </w:t>
            </w:r>
          </w:p>
          <w:p w:rsidR="00437AB8" w:rsidRPr="00437AB8" w:rsidRDefault="00437AB8" w:rsidP="002013C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37AB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ВУРНАРСКИЙ РАЙОН</w:t>
            </w:r>
            <w:r w:rsidRPr="00437AB8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437AB8" w:rsidRPr="00437AB8" w:rsidTr="00437AB8">
        <w:trPr>
          <w:cantSplit/>
          <w:trHeight w:val="1628"/>
        </w:trPr>
        <w:tc>
          <w:tcPr>
            <w:tcW w:w="3085" w:type="dxa"/>
          </w:tcPr>
          <w:p w:rsidR="00437AB8" w:rsidRPr="00437AB8" w:rsidRDefault="00437AB8" w:rsidP="002013C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37AB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НУРАС ЯЛ ПОСЕЛЕНИЙĚН </w:t>
            </w:r>
          </w:p>
          <w:p w:rsidR="00437AB8" w:rsidRPr="00437AB8" w:rsidRDefault="00437AB8" w:rsidP="002013C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eastAsiaTheme="majorEastAsia" w:hAnsi="Times New Roman" w:cs="Times New Roman"/>
                <w:noProof/>
                <w:color w:val="000000"/>
              </w:rPr>
            </w:pPr>
            <w:r w:rsidRPr="00437AB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АДМИНИСТРАЦИЙĚ</w:t>
            </w:r>
            <w:r w:rsidRPr="00437AB8">
              <w:rPr>
                <w:rStyle w:val="a4"/>
                <w:rFonts w:ascii="Times New Roman" w:eastAsiaTheme="majorEastAsia" w:hAnsi="Times New Roman" w:cs="Times New Roman"/>
                <w:noProof/>
                <w:color w:val="000000"/>
              </w:rPr>
              <w:t xml:space="preserve"> </w:t>
            </w:r>
          </w:p>
          <w:p w:rsidR="00437AB8" w:rsidRPr="00437AB8" w:rsidRDefault="00437AB8" w:rsidP="002013CE">
            <w:pPr>
              <w:rPr>
                <w:sz w:val="20"/>
                <w:szCs w:val="20"/>
              </w:rPr>
            </w:pPr>
          </w:p>
          <w:p w:rsidR="00437AB8" w:rsidRPr="00437AB8" w:rsidRDefault="00437AB8" w:rsidP="002013CE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437AB8">
              <w:rPr>
                <w:b w:val="0"/>
                <w:bCs w:val="0"/>
                <w:sz w:val="20"/>
                <w:szCs w:val="20"/>
              </w:rPr>
              <w:t>ЙЫШАНУ</w:t>
            </w:r>
          </w:p>
          <w:p w:rsidR="00437AB8" w:rsidRPr="00437AB8" w:rsidRDefault="00437AB8" w:rsidP="002013CE">
            <w:pPr>
              <w:rPr>
                <w:sz w:val="20"/>
                <w:szCs w:val="20"/>
              </w:rPr>
            </w:pPr>
          </w:p>
          <w:p w:rsidR="00437AB8" w:rsidRPr="00437AB8" w:rsidRDefault="00437AB8" w:rsidP="002013C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37AB8">
              <w:rPr>
                <w:rFonts w:ascii="Times New Roman" w:hAnsi="Times New Roman" w:cs="Times New Roman"/>
                <w:noProof/>
                <w:color w:val="000000"/>
              </w:rPr>
              <w:t>«16 »  мая  2019  №  30</w:t>
            </w:r>
          </w:p>
          <w:p w:rsidR="00437AB8" w:rsidRPr="00437AB8" w:rsidRDefault="00437AB8" w:rsidP="002013CE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437AB8">
              <w:rPr>
                <w:noProof/>
                <w:color w:val="000000"/>
                <w:sz w:val="20"/>
                <w:szCs w:val="20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437AB8" w:rsidRPr="00437AB8" w:rsidRDefault="00437AB8" w:rsidP="002013CE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:rsidR="00437AB8" w:rsidRPr="00437AB8" w:rsidRDefault="00437AB8" w:rsidP="002013C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37AB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АДМИНИСТРАЦИЯ </w:t>
            </w:r>
          </w:p>
          <w:p w:rsidR="00437AB8" w:rsidRPr="00437AB8" w:rsidRDefault="00437AB8" w:rsidP="002013C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37AB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КАЛИНИНСКОГО СЕЛЬСКОГО </w:t>
            </w:r>
          </w:p>
          <w:p w:rsidR="00437AB8" w:rsidRPr="00437AB8" w:rsidRDefault="00437AB8" w:rsidP="002013C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37AB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437AB8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437AB8" w:rsidRPr="00437AB8" w:rsidRDefault="00437AB8" w:rsidP="002013CE">
            <w:pPr>
              <w:pStyle w:val="a3"/>
              <w:spacing w:line="192" w:lineRule="auto"/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</w:rPr>
            </w:pPr>
          </w:p>
          <w:p w:rsidR="00437AB8" w:rsidRPr="00437AB8" w:rsidRDefault="00437AB8" w:rsidP="002013CE">
            <w:pPr>
              <w:pStyle w:val="a3"/>
              <w:spacing w:line="192" w:lineRule="auto"/>
              <w:jc w:val="center"/>
              <w:rPr>
                <w:rStyle w:val="a4"/>
                <w:rFonts w:ascii="Times New Roman" w:eastAsiaTheme="majorEastAsia" w:hAnsi="Times New Roman" w:cs="Times New Roman"/>
                <w:noProof/>
                <w:color w:val="000000"/>
              </w:rPr>
            </w:pPr>
            <w:r w:rsidRPr="00437AB8">
              <w:rPr>
                <w:rStyle w:val="a4"/>
                <w:rFonts w:ascii="Times New Roman" w:eastAsiaTheme="majorEastAsia" w:hAnsi="Times New Roman" w:cs="Times New Roman"/>
                <w:noProof/>
                <w:color w:val="000000"/>
              </w:rPr>
              <w:t>ПОСТАНОВЛЕНИЕ</w:t>
            </w:r>
          </w:p>
          <w:p w:rsidR="00437AB8" w:rsidRPr="00437AB8" w:rsidRDefault="00437AB8" w:rsidP="002013CE">
            <w:pPr>
              <w:rPr>
                <w:sz w:val="20"/>
                <w:szCs w:val="20"/>
              </w:rPr>
            </w:pPr>
          </w:p>
          <w:p w:rsidR="00437AB8" w:rsidRPr="00437AB8" w:rsidRDefault="00437AB8" w:rsidP="002013CE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37AB8">
              <w:rPr>
                <w:rFonts w:ascii="Times New Roman" w:hAnsi="Times New Roman" w:cs="Times New Roman"/>
                <w:noProof/>
                <w:color w:val="000000"/>
              </w:rPr>
              <w:t>«16» мая   2019 №  30</w:t>
            </w:r>
          </w:p>
          <w:p w:rsidR="00437AB8" w:rsidRPr="00437AB8" w:rsidRDefault="00437AB8" w:rsidP="002013CE">
            <w:pPr>
              <w:ind w:left="348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437AB8">
              <w:rPr>
                <w:noProof/>
                <w:color w:val="000000"/>
                <w:sz w:val="20"/>
                <w:szCs w:val="20"/>
              </w:rPr>
              <w:t>село Калинино</w:t>
            </w:r>
          </w:p>
        </w:tc>
      </w:tr>
    </w:tbl>
    <w:p w:rsidR="00437AB8" w:rsidRPr="00437AB8" w:rsidRDefault="00437AB8" w:rsidP="00437AB8">
      <w:pPr>
        <w:jc w:val="center"/>
        <w:rPr>
          <w:sz w:val="20"/>
          <w:szCs w:val="20"/>
        </w:rPr>
      </w:pPr>
    </w:p>
    <w:p w:rsidR="00437AB8" w:rsidRPr="00437AB8" w:rsidRDefault="00437AB8" w:rsidP="00437AB8">
      <w:pPr>
        <w:ind w:right="481"/>
        <w:jc w:val="both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 xml:space="preserve">Об утверждении Положения  о  порядке финансирования мероприятий по улучшению условий и охраны труда в организациях, финансируемых из бюджета  Калининского сельского поселения </w:t>
      </w:r>
      <w:proofErr w:type="spellStart"/>
      <w:r w:rsidRPr="00437AB8">
        <w:rPr>
          <w:bCs/>
          <w:sz w:val="20"/>
          <w:szCs w:val="20"/>
        </w:rPr>
        <w:t>Вурнарского</w:t>
      </w:r>
      <w:proofErr w:type="spellEnd"/>
      <w:r w:rsidRPr="00437AB8">
        <w:rPr>
          <w:bCs/>
          <w:sz w:val="20"/>
          <w:szCs w:val="20"/>
        </w:rPr>
        <w:t xml:space="preserve"> района</w:t>
      </w:r>
    </w:p>
    <w:p w:rsidR="00437AB8" w:rsidRPr="00437AB8" w:rsidRDefault="00437AB8" w:rsidP="00437AB8">
      <w:pPr>
        <w:ind w:right="4536"/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ind w:firstLine="567"/>
        <w:jc w:val="both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 xml:space="preserve">В соответствии со статьей 226 Трудового кодекса Российской Федерации, руководствуясь Уставом  Калининского  сельского поселения </w:t>
      </w:r>
      <w:proofErr w:type="spellStart"/>
      <w:r w:rsidRPr="00437AB8">
        <w:rPr>
          <w:bCs/>
          <w:sz w:val="20"/>
          <w:szCs w:val="20"/>
        </w:rPr>
        <w:t>Вурнарского</w:t>
      </w:r>
      <w:proofErr w:type="spellEnd"/>
      <w:r w:rsidRPr="00437AB8">
        <w:rPr>
          <w:bCs/>
          <w:sz w:val="20"/>
          <w:szCs w:val="20"/>
        </w:rPr>
        <w:t xml:space="preserve"> района,  администрация Калининского сельского поселения </w:t>
      </w:r>
      <w:proofErr w:type="gramStart"/>
      <w:r w:rsidRPr="00437AB8">
        <w:rPr>
          <w:bCs/>
          <w:sz w:val="20"/>
          <w:szCs w:val="20"/>
        </w:rPr>
        <w:t>п</w:t>
      </w:r>
      <w:proofErr w:type="gramEnd"/>
      <w:r w:rsidRPr="00437AB8">
        <w:rPr>
          <w:bCs/>
          <w:sz w:val="20"/>
          <w:szCs w:val="20"/>
        </w:rPr>
        <w:t xml:space="preserve"> о с т а н о в л я </w:t>
      </w:r>
      <w:proofErr w:type="spellStart"/>
      <w:r w:rsidRPr="00437AB8">
        <w:rPr>
          <w:bCs/>
          <w:sz w:val="20"/>
          <w:szCs w:val="20"/>
        </w:rPr>
        <w:t>ет</w:t>
      </w:r>
      <w:proofErr w:type="spellEnd"/>
      <w:r w:rsidRPr="00437AB8">
        <w:rPr>
          <w:bCs/>
          <w:sz w:val="20"/>
          <w:szCs w:val="20"/>
        </w:rPr>
        <w:t>:</w:t>
      </w: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 xml:space="preserve">1. Утвердить Положение о порядке финансирования мероприятий по улучшению условий и охраны труда в организациях, финансируемых из бюджета  Калининского сельского поселения </w:t>
      </w:r>
      <w:proofErr w:type="spellStart"/>
      <w:r w:rsidRPr="00437AB8">
        <w:rPr>
          <w:bCs/>
          <w:sz w:val="20"/>
          <w:szCs w:val="20"/>
        </w:rPr>
        <w:t>Вурнарского</w:t>
      </w:r>
      <w:proofErr w:type="spellEnd"/>
      <w:r w:rsidRPr="00437AB8">
        <w:rPr>
          <w:bCs/>
          <w:sz w:val="20"/>
          <w:szCs w:val="20"/>
        </w:rPr>
        <w:t xml:space="preserve"> района, согласно приложению.</w:t>
      </w: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>2 .Настоящее постановление вступает в силу  после его официального опубликования.</w:t>
      </w: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 xml:space="preserve"> Глава  </w:t>
      </w:r>
      <w:proofErr w:type="gramStart"/>
      <w:r w:rsidRPr="00437AB8">
        <w:rPr>
          <w:bCs/>
          <w:sz w:val="20"/>
          <w:szCs w:val="20"/>
        </w:rPr>
        <w:t>Калининского</w:t>
      </w:r>
      <w:proofErr w:type="gramEnd"/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 xml:space="preserve">сельского поселения                                                                                             </w:t>
      </w:r>
      <w:proofErr w:type="spellStart"/>
      <w:r w:rsidRPr="00437AB8">
        <w:rPr>
          <w:bCs/>
          <w:sz w:val="20"/>
          <w:szCs w:val="20"/>
        </w:rPr>
        <w:t>Л.Н.Иванова</w:t>
      </w:r>
      <w:proofErr w:type="spellEnd"/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 xml:space="preserve"> </w:t>
      </w:r>
    </w:p>
    <w:p w:rsidR="00437AB8" w:rsidRPr="00437AB8" w:rsidRDefault="00437AB8" w:rsidP="00437AB8">
      <w:pPr>
        <w:jc w:val="right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 xml:space="preserve">ПРИЛОЖЕНИЕ к постановлению </w:t>
      </w:r>
    </w:p>
    <w:p w:rsidR="00437AB8" w:rsidRPr="00437AB8" w:rsidRDefault="00437AB8" w:rsidP="00437AB8">
      <w:pPr>
        <w:jc w:val="right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 xml:space="preserve">администрации  Калининского сельского поселения </w:t>
      </w:r>
    </w:p>
    <w:p w:rsidR="00437AB8" w:rsidRPr="00437AB8" w:rsidRDefault="00437AB8" w:rsidP="00437AB8">
      <w:pPr>
        <w:jc w:val="right"/>
        <w:outlineLvl w:val="0"/>
        <w:rPr>
          <w:bCs/>
          <w:sz w:val="20"/>
          <w:szCs w:val="20"/>
        </w:rPr>
      </w:pPr>
      <w:proofErr w:type="spellStart"/>
      <w:r w:rsidRPr="00437AB8">
        <w:rPr>
          <w:bCs/>
          <w:sz w:val="20"/>
          <w:szCs w:val="20"/>
        </w:rPr>
        <w:lastRenderedPageBreak/>
        <w:t>Вурнарского</w:t>
      </w:r>
      <w:proofErr w:type="spellEnd"/>
      <w:r w:rsidRPr="00437AB8">
        <w:rPr>
          <w:bCs/>
          <w:sz w:val="20"/>
          <w:szCs w:val="20"/>
        </w:rPr>
        <w:t xml:space="preserve"> района</w:t>
      </w:r>
    </w:p>
    <w:p w:rsidR="00437AB8" w:rsidRPr="00437AB8" w:rsidRDefault="00437AB8" w:rsidP="00437AB8">
      <w:pPr>
        <w:jc w:val="right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>от 16.05.2019 г. №_30</w:t>
      </w: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jc w:val="center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>Положение</w:t>
      </w:r>
    </w:p>
    <w:p w:rsidR="00437AB8" w:rsidRPr="00437AB8" w:rsidRDefault="00437AB8" w:rsidP="00437AB8">
      <w:pPr>
        <w:jc w:val="center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>о порядке финансирования мероприятий по улучшению условий и охраны труда в организациях, финансируемых из бюджета</w:t>
      </w:r>
    </w:p>
    <w:p w:rsidR="00437AB8" w:rsidRPr="00437AB8" w:rsidRDefault="00437AB8" w:rsidP="00437AB8">
      <w:pPr>
        <w:jc w:val="center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 xml:space="preserve">Калининского сельского поселения </w:t>
      </w:r>
      <w:proofErr w:type="spellStart"/>
      <w:r w:rsidRPr="00437AB8">
        <w:rPr>
          <w:bCs/>
          <w:sz w:val="20"/>
          <w:szCs w:val="20"/>
        </w:rPr>
        <w:t>Вурнарского</w:t>
      </w:r>
      <w:proofErr w:type="spellEnd"/>
      <w:r w:rsidRPr="00437AB8">
        <w:rPr>
          <w:bCs/>
          <w:sz w:val="20"/>
          <w:szCs w:val="20"/>
        </w:rPr>
        <w:t xml:space="preserve"> района</w:t>
      </w: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 xml:space="preserve">1. </w:t>
      </w:r>
      <w:proofErr w:type="gramStart"/>
      <w:r w:rsidRPr="00437AB8">
        <w:rPr>
          <w:bCs/>
          <w:sz w:val="20"/>
          <w:szCs w:val="20"/>
        </w:rPr>
        <w:t xml:space="preserve">Настоящее Положение устанавливает порядок финансирования мероприятий по улучшению условий и охраны труда в организациях, финансируемых из бюджета  Калининского сельского поселения </w:t>
      </w:r>
      <w:proofErr w:type="spellStart"/>
      <w:r w:rsidRPr="00437AB8">
        <w:rPr>
          <w:bCs/>
          <w:sz w:val="20"/>
          <w:szCs w:val="20"/>
        </w:rPr>
        <w:t>Вурнарского</w:t>
      </w:r>
      <w:proofErr w:type="spellEnd"/>
      <w:r w:rsidRPr="00437AB8">
        <w:rPr>
          <w:bCs/>
          <w:sz w:val="20"/>
          <w:szCs w:val="20"/>
        </w:rPr>
        <w:t xml:space="preserve"> района,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организациях, финансируемых из бюджета Калининского  сельского поселения </w:t>
      </w:r>
      <w:proofErr w:type="spellStart"/>
      <w:r w:rsidRPr="00437AB8">
        <w:rPr>
          <w:bCs/>
          <w:sz w:val="20"/>
          <w:szCs w:val="20"/>
        </w:rPr>
        <w:t>Вурнарского</w:t>
      </w:r>
      <w:proofErr w:type="spellEnd"/>
      <w:r w:rsidRPr="00437AB8">
        <w:rPr>
          <w:bCs/>
          <w:sz w:val="20"/>
          <w:szCs w:val="20"/>
        </w:rPr>
        <w:t xml:space="preserve"> района.</w:t>
      </w:r>
      <w:proofErr w:type="gramEnd"/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 xml:space="preserve">2. Финансирование мероприятий по улучшению условий и охраны труда в организациях, финансируемых из бюджета Калининского сельского поселения </w:t>
      </w:r>
      <w:proofErr w:type="spellStart"/>
      <w:r w:rsidRPr="00437AB8">
        <w:rPr>
          <w:bCs/>
          <w:sz w:val="20"/>
          <w:szCs w:val="20"/>
        </w:rPr>
        <w:t>Вурнарского</w:t>
      </w:r>
      <w:proofErr w:type="spellEnd"/>
      <w:r w:rsidRPr="00437AB8">
        <w:rPr>
          <w:bCs/>
          <w:sz w:val="20"/>
          <w:szCs w:val="20"/>
        </w:rPr>
        <w:t xml:space="preserve"> района, осуществляется за счет средств бюджета Калининского   сельского поселения </w:t>
      </w:r>
      <w:proofErr w:type="spellStart"/>
      <w:r w:rsidRPr="00437AB8">
        <w:rPr>
          <w:bCs/>
          <w:sz w:val="20"/>
          <w:szCs w:val="20"/>
        </w:rPr>
        <w:t>Вурнарского</w:t>
      </w:r>
      <w:proofErr w:type="spellEnd"/>
      <w:r w:rsidRPr="00437AB8">
        <w:rPr>
          <w:bCs/>
          <w:sz w:val="20"/>
          <w:szCs w:val="20"/>
        </w:rPr>
        <w:t xml:space="preserve"> района по утвержденной смете, но не менее 0,2 процента суммы затрат на производство продукции (работ, услуг).</w:t>
      </w: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 xml:space="preserve">3. </w:t>
      </w:r>
      <w:proofErr w:type="gramStart"/>
      <w:r w:rsidRPr="00437AB8">
        <w:rPr>
          <w:bCs/>
          <w:sz w:val="20"/>
          <w:szCs w:val="20"/>
        </w:rPr>
        <w:t xml:space="preserve">Смета финансирования организации из бюджета Калининского сельского поселения </w:t>
      </w:r>
      <w:proofErr w:type="spellStart"/>
      <w:r w:rsidRPr="00437AB8">
        <w:rPr>
          <w:bCs/>
          <w:sz w:val="20"/>
          <w:szCs w:val="20"/>
        </w:rPr>
        <w:t>Вурнарского</w:t>
      </w:r>
      <w:proofErr w:type="spellEnd"/>
      <w:r w:rsidRPr="00437AB8">
        <w:rPr>
          <w:bCs/>
          <w:sz w:val="20"/>
          <w:szCs w:val="20"/>
        </w:rPr>
        <w:t xml:space="preserve"> района, составляется ежегодно с учетом разработанных мероприятий по улучшению условий и охраны труда работающих, снижению уровней профессиональных рисков  согласно Типовому перечню ежегодно реализуемых работодателем мероприятий по улучшению условий и охраны труда и снижению уровней профессиональных рисков, утвержденному приказом Министерства здравоохранения и социального развития РФ от 1 марта 2012 г. N 181н</w:t>
      </w:r>
      <w:proofErr w:type="gramEnd"/>
      <w:r w:rsidRPr="00437AB8">
        <w:rPr>
          <w:bCs/>
          <w:sz w:val="20"/>
          <w:szCs w:val="20"/>
        </w:rPr>
        <w:t>.</w:t>
      </w: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  <w:r w:rsidRPr="00437AB8">
        <w:rPr>
          <w:bCs/>
          <w:sz w:val="20"/>
          <w:szCs w:val="20"/>
        </w:rPr>
        <w:t>4. Работник не несет расходов на финансирование мероприятий по улучшению условий и охраны труда.</w:t>
      </w: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p w:rsidR="00437AB8" w:rsidRPr="00437AB8" w:rsidRDefault="00437AB8" w:rsidP="00437AB8">
      <w:pPr>
        <w:jc w:val="both"/>
        <w:outlineLvl w:val="0"/>
        <w:rPr>
          <w:bCs/>
          <w:sz w:val="20"/>
          <w:szCs w:val="20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>Редактор издани</w:t>
            </w:r>
            <w:proofErr w:type="gramStart"/>
            <w:r w:rsidRPr="007626A4">
              <w:rPr>
                <w:rFonts w:eastAsia="Calibri"/>
              </w:rPr>
              <w:t>я-</w:t>
            </w:r>
            <w:proofErr w:type="gramEnd"/>
            <w:r w:rsidRPr="007626A4">
              <w:rPr>
                <w:rFonts w:eastAsia="Calibri"/>
              </w:rPr>
              <w:t xml:space="preserve"> </w:t>
            </w:r>
            <w:proofErr w:type="spellStart"/>
            <w:r w:rsidRPr="007626A4">
              <w:rPr>
                <w:rFonts w:eastAsia="Calibri"/>
              </w:rPr>
              <w:t>Л.Н.Иванова</w:t>
            </w:r>
            <w:proofErr w:type="spellEnd"/>
            <w:r w:rsidRPr="007626A4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7626A4">
              <w:rPr>
                <w:rFonts w:eastAsia="Calibri"/>
              </w:rPr>
              <w:t>Вурнарского</w:t>
            </w:r>
            <w:proofErr w:type="spellEnd"/>
            <w:r w:rsidRPr="007626A4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7626A4">
              <w:rPr>
                <w:rFonts w:eastAsia="Calibri"/>
              </w:rPr>
              <w:t>Вурнарский</w:t>
            </w:r>
            <w:proofErr w:type="spellEnd"/>
            <w:r w:rsidRPr="007626A4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A0" w:rsidRDefault="00CE6BA0" w:rsidP="00A77045">
      <w:r>
        <w:separator/>
      </w:r>
    </w:p>
  </w:endnote>
  <w:endnote w:type="continuationSeparator" w:id="0">
    <w:p w:rsidR="00CE6BA0" w:rsidRDefault="00CE6BA0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A0" w:rsidRDefault="00CE6BA0" w:rsidP="00A77045">
      <w:r>
        <w:separator/>
      </w:r>
    </w:p>
  </w:footnote>
  <w:footnote w:type="continuationSeparator" w:id="0">
    <w:p w:rsidR="00CE6BA0" w:rsidRDefault="00CE6BA0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5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0"/>
  </w:num>
  <w:num w:numId="5">
    <w:abstractNumId w:val="19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3"/>
  </w:num>
  <w:num w:numId="16">
    <w:abstractNumId w:val="22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20"/>
  </w:num>
  <w:num w:numId="23">
    <w:abstractNumId w:val="24"/>
  </w:num>
  <w:num w:numId="24">
    <w:abstractNumId w:val="14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87393"/>
    <w:rsid w:val="008A0FDB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7699A"/>
    <w:rsid w:val="00981140"/>
    <w:rsid w:val="00983041"/>
    <w:rsid w:val="009B5100"/>
    <w:rsid w:val="009D347E"/>
    <w:rsid w:val="009F05E7"/>
    <w:rsid w:val="00A0098B"/>
    <w:rsid w:val="00A20716"/>
    <w:rsid w:val="00A23FB9"/>
    <w:rsid w:val="00A40677"/>
    <w:rsid w:val="00A4304B"/>
    <w:rsid w:val="00A52B83"/>
    <w:rsid w:val="00A7127D"/>
    <w:rsid w:val="00A75AE0"/>
    <w:rsid w:val="00A77045"/>
    <w:rsid w:val="00A819E8"/>
    <w:rsid w:val="00A91D84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90CAD"/>
    <w:rsid w:val="00BD5D20"/>
    <w:rsid w:val="00BE115B"/>
    <w:rsid w:val="00BE6B91"/>
    <w:rsid w:val="00BF702C"/>
    <w:rsid w:val="00C07923"/>
    <w:rsid w:val="00C07A71"/>
    <w:rsid w:val="00C15F84"/>
    <w:rsid w:val="00C37A46"/>
    <w:rsid w:val="00C62F30"/>
    <w:rsid w:val="00C773CA"/>
    <w:rsid w:val="00C80C5F"/>
    <w:rsid w:val="00C8759A"/>
    <w:rsid w:val="00CE6BA0"/>
    <w:rsid w:val="00D018B6"/>
    <w:rsid w:val="00D15F6C"/>
    <w:rsid w:val="00D16CB2"/>
    <w:rsid w:val="00D21B33"/>
    <w:rsid w:val="00D36BEE"/>
    <w:rsid w:val="00D4495A"/>
    <w:rsid w:val="00D45026"/>
    <w:rsid w:val="00D7687B"/>
    <w:rsid w:val="00DA4A04"/>
    <w:rsid w:val="00DB6AFB"/>
    <w:rsid w:val="00DC20F7"/>
    <w:rsid w:val="00DC79E0"/>
    <w:rsid w:val="00E07230"/>
    <w:rsid w:val="00E1281A"/>
    <w:rsid w:val="00E33AAB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5181CF-4221-4579-8A27-B06B611E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3</cp:revision>
  <cp:lastPrinted>2019-04-10T09:38:00Z</cp:lastPrinted>
  <dcterms:created xsi:type="dcterms:W3CDTF">2019-05-30T05:13:00Z</dcterms:created>
  <dcterms:modified xsi:type="dcterms:W3CDTF">2019-05-30T05:13:00Z</dcterms:modified>
</cp:coreProperties>
</file>