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4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4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4"/>
                <w:color w:val="000000"/>
                <w:sz w:val="24"/>
                <w:szCs w:val="24"/>
              </w:rPr>
            </w:pPr>
            <w:r>
              <w:rPr>
                <w:rStyle w:val="Style14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4"/>
                <w:color w:val="000000"/>
                <w:sz w:val="24"/>
                <w:szCs w:val="24"/>
              </w:rPr>
            </w:pPr>
            <w:r>
              <w:rPr>
                <w:rStyle w:val="Style14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0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0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01.03.2019г. № 23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20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0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0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  <w:u w:val="single"/>
              </w:rPr>
              <w:t xml:space="preserve">01.03.2019 </w:t>
            </w:r>
            <w:r>
              <w:rPr>
                <w:rFonts w:cs="Times New Roman" w:ascii="Times New Roman" w:hAnsi="Times New Roman"/>
              </w:rPr>
              <w:t>№ 23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6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5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 xml:space="preserve">       </w:t>
            </w:r>
          </w:p>
          <w:p>
            <w:pPr>
              <w:pStyle w:val="5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  <w:p>
            <w:pPr>
              <w:pStyle w:val="5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 xml:space="preserve">       </w:t>
            </w:r>
          </w:p>
          <w:p>
            <w:pPr>
              <w:pStyle w:val="5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  <w:p>
            <w:pPr>
              <w:pStyle w:val="5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  <w:t xml:space="preserve">    </w:t>
            </w:r>
            <w:r>
              <w:rPr>
                <w:rFonts w:eastAsia="" w:eastAsiaTheme="minorEastAsia"/>
                <w:sz w:val="24"/>
                <w:szCs w:val="24"/>
              </w:rPr>
              <w:t>О присвоении почтового адреса.</w:t>
            </w:r>
          </w:p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>
              <w:rPr>
                <w:bCs/>
                <w:sz w:val="24"/>
                <w:szCs w:val="24"/>
              </w:rPr>
              <w:t xml:space="preserve">В соответствии с утвержденным муниципальным реестром адреса по сельским поселениям  Аликовского района Чувашской Республики Постановлением главы Аликовского района Чувашской Республики от 14.11.2006 г. № 434 в целях обеспечения своевременного проведения инвентаризации архивов организаций, осуществляющих технический учет и техническую инвентаризацию объектов  капитального строительства, а  также и их государственную регистрацию в управлении государственной регистрационной службы постановляю:   </w:t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5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       </w:t>
            </w:r>
            <w:r>
              <w:rPr>
                <w:rFonts w:eastAsia="" w:eastAsiaTheme="minorEastAsia"/>
                <w:bCs/>
                <w:sz w:val="24"/>
                <w:szCs w:val="24"/>
              </w:rPr>
              <w:t>Присвоить зданию  православного храма Святой Троицы с. Асакасы Аликовского района Чувашской Республики Чебоксарско-Чувашской Епархии Русской Православной Церкви (Московский патриархат) следующий почтовый адрес: Чувашская Республика, Аликовский район, село Асакасы, улица  Нагорная, дом  8.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Ефремкасинского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поселения:                                                                                      В.М.Ефимов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4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LibreOffice/5.1.3.2$Windows_x86 LibreOffice_project/644e4637d1d8544fd9f56425bd6cec110e49301b</Application>
  <Pages>1</Pages>
  <Words>203</Words>
  <CharactersWithSpaces>1162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>user</cp:lastModifiedBy>
  <cp:lastPrinted>2019-03-13T06:31:00Z</cp:lastPrinted>
  <dcterms:modified xsi:type="dcterms:W3CDTF">2019-03-13T06:33:00Z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