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FFFFFF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22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04</w:t>
            </w:r>
            <w:r>
              <w:rPr>
                <w:rFonts w:cs="Times New Roman" w:ascii="Times New Roman" w:hAnsi="Times New Roman"/>
              </w:rPr>
              <w:t xml:space="preserve">.02.2019г. № </w:t>
            </w:r>
            <w:r>
              <w:rPr>
                <w:rFonts w:cs="Times New Roman" w:ascii="Times New Roman" w:hAnsi="Times New Roman"/>
              </w:rPr>
              <w:t>18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2" w:type="dxa"/>
            <w:tcBorders/>
            <w:shd w:fill="FFFFFF" w:val="clear"/>
          </w:tcPr>
          <w:p>
            <w:pPr>
              <w:pStyle w:val="Style22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2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22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</w:rPr>
              <w:t>04</w:t>
            </w:r>
            <w:r>
              <w:rPr>
                <w:rFonts w:cs="Times New Roman" w:ascii="Times New Roman" w:hAnsi="Times New Roman"/>
                <w:u w:val="single"/>
              </w:rPr>
              <w:t xml:space="preserve">.02.2019 </w:t>
            </w: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18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Normal"/>
        <w:widowControl/>
        <w:suppressAutoHyphens w:val="true"/>
        <w:bidi w:val="0"/>
        <w:ind w:left="0" w:right="4275" w:hanging="0"/>
        <w:jc w:val="both"/>
        <w:textAlignment w:val="baseline"/>
        <w:rPr/>
      </w:pPr>
      <w:r>
        <w:rPr/>
      </w:r>
    </w:p>
    <w:p>
      <w:pPr>
        <w:pStyle w:val="Style18"/>
        <w:widowControl/>
        <w:suppressAutoHyphens w:val="true"/>
        <w:bidi w:val="0"/>
        <w:ind w:left="0" w:right="4275" w:hanging="0"/>
        <w:jc w:val="both"/>
        <w:textAlignment w:val="baseline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О плане мероприятий по</w:t>
      </w:r>
    </w:p>
    <w:p>
      <w:pPr>
        <w:pStyle w:val="Style18"/>
        <w:widowControl/>
        <w:spacing w:before="0" w:after="283"/>
        <w:ind w:left="0" w:right="0" w:hanging="0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противодействию коррупции на 2019 год</w:t>
      </w:r>
    </w:p>
    <w:p>
      <w:pPr>
        <w:pStyle w:val="Style18"/>
        <w:widowControl/>
        <w:spacing w:before="0" w:after="283"/>
        <w:ind w:left="0" w:right="0" w:hanging="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В соответствии с </w:t>
      </w:r>
      <w:hyperlink r:id="rId3">
        <w:r>
          <w:rPr>
            <w:rStyle w:val="Style15"/>
            <w:rFonts w:ascii="arial;helvetica;sans-serif" w:hAnsi="arial;helvetica;sans-serif"/>
            <w:b w:val="false"/>
            <w:i w:val="false"/>
            <w:caps w:val="false"/>
            <w:smallCaps w:val="false"/>
            <w:color w:val="4D6BBC"/>
            <w:spacing w:val="0"/>
            <w:sz w:val="20"/>
            <w:u w:val="single"/>
          </w:rPr>
          <w:t>Законом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Чувашской Республики от 04.06.2007 г.                № 14  «О противодействии коррупции», </w:t>
      </w:r>
      <w:hyperlink r:id="rId4">
        <w:r>
          <w:rPr>
            <w:rStyle w:val="Style15"/>
            <w:rFonts w:ascii="arial;helvetica;sans-serif" w:hAnsi="arial;helvetica;sans-serif"/>
            <w:b w:val="false"/>
            <w:i w:val="false"/>
            <w:caps w:val="false"/>
            <w:smallCaps w:val="false"/>
            <w:color w:val="4D6BBC"/>
            <w:spacing w:val="0"/>
            <w:sz w:val="20"/>
            <w:u w:val="single"/>
          </w:rPr>
          <w:t>Указом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Президента Российской Федерации от 29.06.2018 № 378 «О национальном плане противодействия коррупции на 2018 - 2020 годы и внесении изменений в некоторые акты Президента Российской Федерации по вопросам противодействия коррупции», и в целях создания эффективных условий для недопущения коррупции в Аликовском районе, ее влияния на деятельность органов местного самоуправления Аликовского района, обеспечения законных прав и интересов граждан и организаций администрация Ефремкасинского сельского поселения Аликовского района Чувашской Республики ПОСТАНОВЛЯЕТ:</w:t>
      </w:r>
    </w:p>
    <w:p>
      <w:pPr>
        <w:pStyle w:val="Style18"/>
        <w:widowControl/>
        <w:spacing w:before="0" w:after="283"/>
        <w:ind w:left="0" w:right="0" w:hanging="0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1. Утвердить План мероприятий по противодействию коррупции в Ефремкасинском сельском поселении Аликовского района на 2019 год (прилагается).</w:t>
      </w:r>
    </w:p>
    <w:p>
      <w:pPr>
        <w:pStyle w:val="Style18"/>
        <w:widowControl/>
        <w:spacing w:before="0" w:after="283"/>
        <w:ind w:left="0" w:right="0" w:hanging="0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2. Обеспечить постоянный контроль за ходом исполнения плана мероприятий, при необходимости вносить предложения, связанные с реализацией, в том числе по вопросам осуществления принятых решений и корректировки плана.</w:t>
      </w:r>
    </w:p>
    <w:p>
      <w:pPr>
        <w:pStyle w:val="Style18"/>
        <w:widowControl/>
        <w:spacing w:before="0" w:after="283"/>
        <w:ind w:left="0" w:right="0" w:hanging="0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3. Контроль за выполнением настоящего постановления возлагаю на себя.</w:t>
      </w:r>
    </w:p>
    <w:p>
      <w:pPr>
        <w:pStyle w:val="Style18"/>
        <w:widowControl/>
        <w:spacing w:before="0" w:after="283"/>
        <w:ind w:left="0" w:right="0" w:hanging="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4. Настоящее постановление вступает в силу после его </w:t>
      </w:r>
      <w:hyperlink r:id="rId5">
        <w:r>
          <w:rPr>
            <w:rStyle w:val="Style15"/>
            <w:rFonts w:ascii="arial;helvetica;sans-serif" w:hAnsi="arial;helvetica;sans-serif"/>
            <w:b w:val="false"/>
            <w:i w:val="false"/>
            <w:caps w:val="false"/>
            <w:smallCaps w:val="false"/>
            <w:color w:val="00000A"/>
            <w:spacing w:val="0"/>
            <w:sz w:val="20"/>
          </w:rPr>
          <w:t>официального опубликовани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я.</w:t>
      </w:r>
    </w:p>
    <w:p>
      <w:pPr>
        <w:pStyle w:val="Style18"/>
        <w:widowControl/>
        <w:spacing w:before="0" w:after="283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283"/>
        <w:ind w:left="0" w:right="0" w:hanging="0"/>
        <w:jc w:val="both"/>
        <w:rPr/>
      </w:pPr>
      <w:r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Глава Ефремкасинского</w:t>
      </w:r>
    </w:p>
    <w:p>
      <w:pPr>
        <w:pStyle w:val="Style18"/>
        <w:widowControl/>
        <w:spacing w:before="0" w:after="283"/>
        <w:ind w:left="0" w:right="0" w:hanging="0"/>
        <w:jc w:val="both"/>
        <w:rPr/>
      </w:pPr>
      <w:r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сельского поселения                                                                                                                В.М.Ефимов</w:t>
      </w:r>
    </w:p>
    <w:p>
      <w:pPr>
        <w:pStyle w:val="Style18"/>
        <w:widowControl/>
        <w:spacing w:before="0" w:after="283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283"/>
        <w:ind w:left="0" w:right="0" w:hanging="0"/>
        <w:jc w:val="right"/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/>
      </w:r>
    </w:p>
    <w:p>
      <w:pPr>
        <w:pStyle w:val="Style18"/>
        <w:widowControl/>
        <w:spacing w:before="0" w:after="283"/>
        <w:ind w:left="0" w:right="0" w:hanging="0"/>
        <w:jc w:val="right"/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/>
      </w:r>
    </w:p>
    <w:p>
      <w:pPr>
        <w:pStyle w:val="Style18"/>
        <w:widowControl/>
        <w:spacing w:before="0" w:after="283"/>
        <w:ind w:left="0" w:right="0" w:hanging="0"/>
        <w:jc w:val="right"/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/>
      </w:r>
    </w:p>
    <w:p>
      <w:pPr>
        <w:pStyle w:val="Style18"/>
        <w:widowControl/>
        <w:spacing w:before="0" w:after="283"/>
        <w:ind w:left="0" w:right="0" w:hanging="0"/>
        <w:jc w:val="right"/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/>
      </w:r>
    </w:p>
    <w:p>
      <w:pPr>
        <w:pStyle w:val="Style18"/>
        <w:widowControl/>
        <w:spacing w:before="0" w:after="283"/>
        <w:ind w:left="0" w:right="0" w:hanging="0"/>
        <w:jc w:val="right"/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/>
      </w:r>
    </w:p>
    <w:p>
      <w:pPr>
        <w:pStyle w:val="Style18"/>
        <w:widowControl/>
        <w:spacing w:before="0" w:after="283"/>
        <w:ind w:left="0" w:right="0" w:hanging="0"/>
        <w:jc w:val="right"/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/>
      </w:r>
    </w:p>
    <w:p>
      <w:pPr>
        <w:pStyle w:val="Style18"/>
        <w:widowControl/>
        <w:spacing w:before="0" w:after="283"/>
        <w:ind w:left="0" w:right="0" w:hanging="0"/>
        <w:jc w:val="right"/>
        <w:rPr/>
      </w:pPr>
      <w:r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Приложение №1</w:t>
      </w:r>
    </w:p>
    <w:p>
      <w:pPr>
        <w:pStyle w:val="Style18"/>
        <w:widowControl/>
        <w:spacing w:before="0" w:after="283"/>
        <w:ind w:left="0" w:right="0" w:hanging="0"/>
        <w:jc w:val="right"/>
        <w:rPr/>
      </w:pPr>
      <w:r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к постановлению администрации</w:t>
      </w:r>
    </w:p>
    <w:p>
      <w:pPr>
        <w:pStyle w:val="Style18"/>
        <w:widowControl/>
        <w:spacing w:before="0" w:after="283"/>
        <w:ind w:left="0" w:right="0" w:hanging="0"/>
        <w:jc w:val="right"/>
        <w:rPr/>
      </w:pPr>
      <w:r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Ефремкасинского сельского поселения</w:t>
      </w:r>
    </w:p>
    <w:p>
      <w:pPr>
        <w:pStyle w:val="Style18"/>
        <w:widowControl/>
        <w:spacing w:before="0" w:after="283"/>
        <w:ind w:left="0" w:right="0" w:hanging="0"/>
        <w:jc w:val="right"/>
        <w:rPr/>
      </w:pPr>
      <w:r>
        <w:rPr>
          <w:rStyle w:val="Style14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Аликовского района от 04.02.2019г. №18</w:t>
      </w:r>
    </w:p>
    <w:p>
      <w:pPr>
        <w:pStyle w:val="Style18"/>
        <w:widowControl/>
        <w:spacing w:before="0" w:after="283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283"/>
        <w:ind w:left="0" w:right="0" w:hanging="0"/>
        <w:jc w:val="righ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uppressAutoHyphens w:val="true"/>
        <w:overflowPunct w:val="false"/>
        <w:bidi w:val="0"/>
        <w:spacing w:lineRule="auto" w:line="240" w:before="0" w:after="283"/>
        <w:ind w:left="0" w:right="-624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ПЛАН</w:t>
      </w:r>
    </w:p>
    <w:p>
      <w:pPr>
        <w:pStyle w:val="Style18"/>
        <w:widowControl/>
        <w:spacing w:before="0" w:after="283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МЕРОПРИЯТИЙ ПО ПРОТИВОДЕЙСТВИЮ КОРРУПЦИИ</w:t>
      </w:r>
    </w:p>
    <w:p>
      <w:pPr>
        <w:pStyle w:val="Style18"/>
        <w:widowControl/>
        <w:spacing w:before="0" w:after="283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В ЕФРЕМКАСИНСКОМ СЕЛЬСКОМ ПОСЕЛЕНИИ АЛИКОВСКОГО РАЙОНА</w:t>
      </w:r>
    </w:p>
    <w:p>
      <w:pPr>
        <w:pStyle w:val="Style18"/>
        <w:widowControl/>
        <w:spacing w:before="0" w:after="283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НА 2019 г.</w:t>
      </w:r>
    </w:p>
    <w:p>
      <w:pPr>
        <w:pStyle w:val="Style18"/>
        <w:widowControl/>
        <w:spacing w:before="0" w:after="283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10408" w:type="dxa"/>
        <w:jc w:val="left"/>
        <w:tblInd w:w="28" w:type="dxa"/>
        <w:tblBorders>
          <w:top w:val="dashed" w:sz="2" w:space="0" w:color="BBBBBB"/>
          <w:left w:val="dashed" w:sz="2" w:space="0" w:color="BBBBBB"/>
          <w:bottom w:val="dashed" w:sz="2" w:space="0" w:color="BBBBBB"/>
          <w:right w:val="dashed" w:sz="2" w:space="0" w:color="BBBBBB"/>
          <w:insideH w:val="dashed" w:sz="2" w:space="0" w:color="BBBBBB"/>
          <w:insideV w:val="dashed" w:sz="2" w:space="0" w:color="BBBBBB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560"/>
        <w:gridCol w:w="23"/>
        <w:gridCol w:w="3485"/>
        <w:gridCol w:w="3052"/>
        <w:gridCol w:w="1738"/>
        <w:gridCol w:w="23"/>
        <w:gridCol w:w="23"/>
        <w:gridCol w:w="1504"/>
      </w:tblGrid>
      <w:tr>
        <w:trPr/>
        <w:tc>
          <w:tcPr>
            <w:tcW w:w="560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</w:rPr>
              <w:t>№  </w:t>
            </w:r>
            <w:r>
              <w:rPr>
                <w:rStyle w:val="Style14"/>
                <w:rFonts w:ascii="arial;helvetica;sans-serif" w:hAnsi="arial;helvetica;sans-serif"/>
                <w:sz w:val="20"/>
              </w:rPr>
              <w:br/>
              <w:t>п/п</w:t>
            </w:r>
          </w:p>
        </w:tc>
        <w:tc>
          <w:tcPr>
            <w:tcW w:w="3508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Наименование мероприятий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Исполнители</w:t>
            </w:r>
          </w:p>
        </w:tc>
        <w:tc>
          <w:tcPr>
            <w:tcW w:w="1784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Срок   </w:t>
              <w:br/>
              <w:t>исполнения</w:t>
            </w:r>
          </w:p>
        </w:tc>
        <w:tc>
          <w:tcPr>
            <w:tcW w:w="1504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Примечание</w:t>
            </w:r>
          </w:p>
        </w:tc>
      </w:tr>
      <w:tr>
        <w:trPr/>
        <w:tc>
          <w:tcPr>
            <w:tcW w:w="560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1</w:t>
            </w:r>
          </w:p>
        </w:tc>
        <w:tc>
          <w:tcPr>
            <w:tcW w:w="3508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2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3</w:t>
            </w:r>
          </w:p>
        </w:tc>
        <w:tc>
          <w:tcPr>
            <w:tcW w:w="1784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4</w:t>
            </w:r>
          </w:p>
        </w:tc>
        <w:tc>
          <w:tcPr>
            <w:tcW w:w="1504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5</w:t>
            </w:r>
          </w:p>
        </w:tc>
      </w:tr>
      <w:tr>
        <w:trPr/>
        <w:tc>
          <w:tcPr>
            <w:tcW w:w="10408" w:type="dxa"/>
            <w:gridSpan w:val="8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1. Выявление и систематизация причин и условий проявления коррупции в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 xml:space="preserve"> </w:t>
            </w:r>
            <w:r>
              <w:rPr>
                <w:rStyle w:val="Style14"/>
                <w:rFonts w:ascii="arial;helvetica;sans-serif" w:hAnsi="arial;helvetica;sans-serif"/>
                <w:sz w:val="20"/>
              </w:rPr>
              <w:t xml:space="preserve">деятельности администрации Ефремкасинского сельского поселения 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Аликовского района, мониторинг коррупционных рисков и их устранение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1.1.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Обеспечение деятельности:</w:t>
            </w:r>
          </w:p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Совета по противодействию коррупции в Аликовском районе; Комиссии по соблюдению требований к служебному поведению муниципальных служащих администрации Ефремкасинского сельского поселения и урегулированию конфликта интересов; Комиссии по соблюдению требований к служебному поведению лиц, замещающих муниципальные должности, муниципальных служащих, осуществляющих полномочия представителя нанимателя (работодателя), и урегулированию конфликта интересов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Отдел организационно-контрольной, кадровой и правовой работы администрации Аликовского района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1.2.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Обеспечение эффективного взаимодействия с правоохранительными органами и иными государственными органами по вопросам противодействия коррупции, информационного взаимодействия с подразделениями правоохранительных органов, занимающимися вопросами противодействия коррупции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Глава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1.3.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Поддержание в актуальном состоянии информационного сайта администрации Ефремкасинского сельского поселения Аликовского района в части, касающейся антикоррупционной деятельности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Ведущий специалист-эксперт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1.4.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Актуализация программы по противодействию коррупции. Проведение мониторинга хода реализации мер по противодействию коррупции в администрации сельского поселения, соблюдения муниципальными служащими запретов, ограничений и требований, установленных антикоррупционным законодательством.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Глава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1 раз в полугодие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1.5.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Осуществление проверки и принятие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 в соответствии с нормативными актами Российской Федерации.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Глава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в течение года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1.6.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Работники администрации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в течение года</w:t>
            </w:r>
          </w:p>
        </w:tc>
        <w:tc>
          <w:tcPr>
            <w:tcW w:w="1550" w:type="dxa"/>
            <w:gridSpan w:val="3"/>
            <w:vMerge w:val="restart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1.7.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Проведение антикоррупционной экспертизы муниципальных правовых актов Ефремкасинского сельского поселения Аликовского района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Комиссия антикоррупционной экспертизы муниципальных правовых актов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в течение года</w:t>
            </w:r>
          </w:p>
        </w:tc>
        <w:tc>
          <w:tcPr>
            <w:tcW w:w="1550" w:type="dxa"/>
            <w:gridSpan w:val="3"/>
            <w:vMerge w:val="continue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0408" w:type="dxa"/>
            <w:gridSpan w:val="8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Меры по правовому обеспечению противодействия коррупции, по повышению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 xml:space="preserve"> </w:t>
            </w:r>
            <w:r>
              <w:rPr>
                <w:rStyle w:val="Style14"/>
                <w:rFonts w:ascii="arial;helvetica;sans-serif" w:hAnsi="arial;helvetica;sans-serif"/>
                <w:sz w:val="20"/>
              </w:rPr>
              <w:t>профессионального уровня</w:t>
            </w:r>
          </w:p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муниципальных служащих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2.1. 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Совершенствование муниципальной нормативной правовой базы по вопросам противодействия коррупции, обеспечение их корректировки с учетом изменений федерального и республиканского законодательства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Отдел организационно-контрольной, кадровой и правовой работы администрации Аликовского района, работники администрации Ефремкасинского сельского поселения</w:t>
            </w:r>
          </w:p>
        </w:tc>
        <w:tc>
          <w:tcPr>
            <w:tcW w:w="1761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ежеквартально</w:t>
            </w:r>
          </w:p>
        </w:tc>
        <w:tc>
          <w:tcPr>
            <w:tcW w:w="1527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2.2.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Ознакомление граждан, поступающих на муниципальную службу в администрацию Ефремкасинского сельского поселения Аликовского района с нормативными правовыми актами в сфере противодействия коррупции, информирование муниципальных служащих и руководителей муниципальных учреждений об изменениях антикоррупционного законодательства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Работники администрации Ефремкасинского сельского поселения</w:t>
            </w:r>
          </w:p>
        </w:tc>
        <w:tc>
          <w:tcPr>
            <w:tcW w:w="1761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при поступлении граждан на муниципальную службу, на должности руководителей муниципальных учреждений</w:t>
            </w:r>
          </w:p>
        </w:tc>
        <w:tc>
          <w:tcPr>
            <w:tcW w:w="1527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2.3.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представителей правоохранительных органов, и других разъяснительных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Отдел организационно-контрольной, кадровой и правовой работы, работники администрации Ефремкасинского сельского поселения</w:t>
            </w:r>
          </w:p>
        </w:tc>
        <w:tc>
          <w:tcPr>
            <w:tcW w:w="1761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27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2.4.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Организация приема сведений о доходах, расходах, об имуществе и обязательствах имущественного характера лиц,  замещающих должности муниципальной службы, их супругов и несовершеннолетних детей, сведений о доходах, об имуществе и обязательствах имущественного характера лиц, замещающих муниципальные должности их супругов и несовершеннолетних детей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  <w:tc>
          <w:tcPr>
            <w:tcW w:w="1761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до 30 апреля 2019 года</w:t>
            </w:r>
          </w:p>
        </w:tc>
        <w:tc>
          <w:tcPr>
            <w:tcW w:w="1527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2.5.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Обеспечение разъяснения порядка заполнения и представления справок о доходах, расходах об имуществе и обязательствах имущественного характера лицами, замещающими должности муниципальной службы, их супругов и несовершеннолетних детей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Работники администрации сельского поселения</w:t>
            </w:r>
          </w:p>
        </w:tc>
        <w:tc>
          <w:tcPr>
            <w:tcW w:w="1761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при поступлении граждан на муниципальную службу</w:t>
            </w:r>
          </w:p>
        </w:tc>
        <w:tc>
          <w:tcPr>
            <w:tcW w:w="1527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2.6.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Размещение на официальном сайте администрации Ефремкасинского сельского поселения Аликовского района сведений о доходах, расходах и об имуществе лиц, замещающих должности муниципальной службы, их супругов и несовершеннолетних детей, сведения о доходах, об имуществе лиц, замещающих должности руководителей муниципальных учреждений их супругов и несовершеннолетних детей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Ведущий специалист-эксперт Ефремкасинского сельского поселения</w:t>
            </w:r>
          </w:p>
        </w:tc>
        <w:tc>
          <w:tcPr>
            <w:tcW w:w="1761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1527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2.7.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Проведение анализа сведений о доходах, расходах, представленных лицами, замещающими должности муниципальной службы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Администрация Ефремкасинского сельского поселения</w:t>
            </w:r>
          </w:p>
        </w:tc>
        <w:tc>
          <w:tcPr>
            <w:tcW w:w="1761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с 1 июня по 31 июля</w:t>
            </w:r>
          </w:p>
        </w:tc>
        <w:tc>
          <w:tcPr>
            <w:tcW w:w="1527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2.9.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Разработка методических и информационно-разъяснительных материалов об антикоррупционных стандартах поведения для муниципальных служащих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Комиссия по соблюдению требований к служебному поведению муниципальных служащих и урегулированию конфликта интересов администрации Аликовского района</w:t>
            </w:r>
          </w:p>
        </w:tc>
        <w:tc>
          <w:tcPr>
            <w:tcW w:w="1761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27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10408" w:type="dxa"/>
            <w:gridSpan w:val="8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3. Взаимодействие с институтами гражданского общества и гражданами, обеспечение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 xml:space="preserve"> </w:t>
            </w:r>
            <w:r>
              <w:rPr>
                <w:rStyle w:val="Style14"/>
                <w:rFonts w:ascii="arial;helvetica;sans-serif" w:hAnsi="arial;helvetica;sans-serif"/>
                <w:sz w:val="20"/>
              </w:rPr>
              <w:t>доступности к информации о деятельности органов местного самоуправления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3.1.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Организация работы по взаимодействию с общественностью и средствами массовой информации по формированию отрицательного отношения к проявлениям коррупции. С целью информирования населения о принимаемых мерах по борьбе с коррупцией и устранению нарушений и правового просвещения обеспечить участие в мероприятиях по вопросам противодействия коррупции, проводимых общественными организациями, объединениями граждан. Привлечение институтов гражданского общества и граждан к участию в проводимых администрацией Ефремкасинского сельского поселения Аликовского района заседаниях совещательных органов по вопросам противодействия коррупции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Отдел организационно-, контрольной и кадровой работы, работники администрации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3.2.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Обеспечение функционирования «горячей линии» и/или «телефонов доверия» по вопросам противодействия коррупции.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Отдел организационно-, контрольной и кадровой работы администрации Аликовского района, администрация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3.3.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Анализ обращений, поступающих в администрацию Ефремкасинского сельского поселения Аликовского района на предмет выявления информации о признаках коррупционных проявлений, сбор и обобщение указанной информации, организация проверки содержащихся в обращениях информации о фактах коррупции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Работники администрации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ежеквартально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3.4.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Поддержание в актуальном состоянии информационного сайта администрации Ефремкасинского сельского поселения Аликовского района в части, касающейся подачи и рассмотрения обращений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Ведущий специалист-эксперт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3.5.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Организация работы по взаимодействию со средствами массовой информации по формированию отрицательного отношения к проявлениям коррупции, мониторинга публикаций в средствах массовой информации о фактах проявления коррупции в администрации Ефремкасинского сельского поселения Аликовского района и организация проверки таких фактов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Работники администрации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3.6.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Обеспечение возможности проведения независимой антикоррупционной экспертизы муниципальных правовых актов и их проектов, оценки их регулирующего воздействия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Глава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в течение года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408" w:type="dxa"/>
            <w:gridSpan w:val="8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 xml:space="preserve">4Мероприятия, направленные на противодействие коррупции с учетом специфики 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его деятельности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4.1.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Совершенствование разрешительных функций, контрольных функций администрации Ефремкасинского сельского поселения Аликовского района, предоставления муниципальных услуг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Работники администрации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4.2.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Оптимизация представления администрацией Ефремкасинского сельского поселения Аликовского района муниципальных услуг и 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Работники администрации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4.3.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Проведение совещаний по профилактике коррупционных и иных правонарушений с работниками органов местного самоуправления, муниципальных учреждений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Отдел организационно- контрольной и кадровой работы администрации Аликовского района, глава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 мере необходимости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4.4.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Совершенствование системы учета муниципального имущества и земельных участков и оценки эффективности его использования. Проведение оценки эффективности использования имущества, находящегося в муниципальной собственности и земельных участков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Глава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4.5.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Совершенствование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  муниципальной собственности.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Глава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4.6.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Реализация антикоррупционных стандартов размещения заказов на муниципальные нужды, реализация мер по повышению эффективности закупочных процедур на основе анализа практики заключения муниципальных контрактов на поставку товаров и выполнение работ. Обеспечение эффективности бюджетных расходов при осуществлении закупок товаров, работ, услуг для обеспечения муниципальных нужд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Глава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4.7.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Проведение мероприятий по устранению случаев участия на стороне поставщиков продукции для обеспечения муниципальных нужд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 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Глава Ефремкасинского сельского поселения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4.8.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Обеспечение финансового контроля за целевым и эффективным использованием средств бюджета Ефремкасинского сельского поселения Аликовского района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Финансовый отдел администрации Аликовского района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постоянно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  <w:tr>
        <w:trPr/>
        <w:tc>
          <w:tcPr>
            <w:tcW w:w="583" w:type="dxa"/>
            <w:gridSpan w:val="2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>
                <w:rStyle w:val="Style14"/>
                <w:rFonts w:ascii="arial;helvetica;sans-serif" w:hAnsi="arial;helvetica;sans-serif"/>
                <w:sz w:val="20"/>
              </w:rPr>
              <w:t>4.9.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  <w:tc>
          <w:tcPr>
            <w:tcW w:w="3485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Проведение конференций с участием представителей малого и среднего предпринимательства, семинаров, «круглых столов» но вопросам развития малого и среднего предпринимательства, противодействия коррупции, устранения административных барьеров, препятствующих развитию бизнеса.</w:t>
            </w:r>
          </w:p>
        </w:tc>
        <w:tc>
          <w:tcPr>
            <w:tcW w:w="3052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Отдел экономики, земельных и имущественных отношений администрации Аликовского района</w:t>
            </w:r>
          </w:p>
        </w:tc>
        <w:tc>
          <w:tcPr>
            <w:tcW w:w="1738" w:type="dxa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>
                <w:rFonts w:ascii="arial;helvetica;sans-serif" w:hAnsi="arial;helvetica;sans-serif"/>
                <w:sz w:val="20"/>
              </w:rPr>
            </w:pPr>
            <w:r>
              <w:rPr>
                <w:rFonts w:ascii="arial;helvetica;sans-serif" w:hAnsi="arial;helvetica;sans-serif"/>
                <w:sz w:val="20"/>
              </w:rPr>
              <w:t>по мере необходимости, но не реже I раза в год</w:t>
            </w:r>
          </w:p>
        </w:tc>
        <w:tc>
          <w:tcPr>
            <w:tcW w:w="1550" w:type="dxa"/>
            <w:gridSpan w:val="3"/>
            <w:tcBorders>
              <w:top w:val="dashed" w:sz="2" w:space="0" w:color="BBBBBB"/>
              <w:left w:val="dashed" w:sz="2" w:space="0" w:color="BBBBBB"/>
              <w:bottom w:val="dashed" w:sz="2" w:space="0" w:color="BBBBBB"/>
              <w:right w:val="dashed" w:sz="2" w:space="0" w:color="BBBBBB"/>
              <w:insideH w:val="dashed" w:sz="2" w:space="0" w:color="BBBBBB"/>
              <w:insideV w:val="dashed" w:sz="2" w:space="0" w:color="BBBBBB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25"/>
              <w:spacing w:before="0" w:after="283"/>
              <w:jc w:val="both"/>
              <w:rPr/>
            </w:pPr>
            <w:r>
              <w:rPr/>
              <w:t> </w:t>
            </w:r>
          </w:p>
        </w:tc>
      </w:tr>
    </w:tbl>
    <w:p>
      <w:pPr>
        <w:pStyle w:val="Style18"/>
        <w:widowControl/>
        <w:spacing w:before="0" w:after="283"/>
        <w:ind w:left="0" w:right="0" w:hanging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widowControl/>
        <w:spacing w:before="0" w:after="283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8"/>
        <w:rPr/>
      </w:pPr>
      <w:r>
        <w:rPr/>
        <w:commentReference w:id="0"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19-02-28T13:56:16Z" w:initials=""/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  <w:sz w:val="20"/>
      <w:szCs w:val="20"/>
    </w:rPr>
  </w:style>
  <w:style w:type="paragraph" w:styleId="2">
    <w:name w:val="Heading 2"/>
    <w:basedOn w:val="Normal"/>
    <w:qFormat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2">
    <w:name w:val="Основной текст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>
    <w:name w:val="Цветовое выделение"/>
    <w:qFormat/>
    <w:rPr>
      <w:b/>
      <w:bCs/>
      <w:color w:val="26282F"/>
      <w:sz w:val="26"/>
      <w:szCs w:val="26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character" w:styleId="WW8Num2z0">
    <w:name w:val="WW8Num2z0"/>
    <w:qFormat/>
    <w:rPr>
      <w:sz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ascii="Times New Roman" w:hAnsi="Times New Roman"/>
      <w:b w:val="false"/>
      <w:sz w:val="2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/>
    <w:rPr>
      <w:b/>
      <w:bCs/>
      <w:sz w:val="24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Таблицы (моноширинный)"/>
    <w:basedOn w:val="Normal"/>
    <w:qFormat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Style23">
    <w:name w:val="Абзац списка"/>
    <w:basedOn w:val="Normal"/>
    <w:qFormat/>
    <w:pPr>
      <w:widowControl w:val="false"/>
      <w:suppressAutoHyphens w:val="true"/>
      <w:spacing w:lineRule="auto" w:line="240" w:before="0" w:after="0"/>
      <w:ind w:left="720" w:right="0" w:hanging="0"/>
    </w:pPr>
    <w:rPr>
      <w:rFonts w:ascii="Arial" w:hAnsi="Arial" w:eastAsia="SimSun;宋体" w:cs="Mangal"/>
      <w:sz w:val="20"/>
      <w:szCs w:val="24"/>
      <w:lang w:bidi="hi-IN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Style24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Содержимое врезки"/>
    <w:basedOn w:val="Normal"/>
    <w:qFormat/>
    <w:pPr/>
    <w:rPr/>
  </w:style>
  <w:style w:type="numbering" w:styleId="NoList">
    <w:name w:val="No List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7524294.0/" TargetMode="External"/><Relationship Id="rId4" Type="http://schemas.openxmlformats.org/officeDocument/2006/relationships/hyperlink" Target="garantf1://70047070.0/" TargetMode="External"/><Relationship Id="rId5" Type="http://schemas.openxmlformats.org/officeDocument/2006/relationships/hyperlink" Target="garantf1://17406961.0/" TargetMode="Externa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LibreOffice/5.1.3.2$Windows_x86 LibreOffice_project/644e4637d1d8544fd9f56425bd6cec110e49301b</Application>
  <Pages>8</Pages>
  <Words>1425</Words>
  <Characters>11688</Characters>
  <CharactersWithSpaces>13167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2019-01-10T12:44:00Z</cp:lastPrinted>
  <dcterms:modified xsi:type="dcterms:W3CDTF">2019-02-28T14:05:06Z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