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5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rStyle w:val="Style15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rStyle w:val="Style15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1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24.01.2019г. № 13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1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1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  <w:u w:val="single"/>
              </w:rPr>
              <w:t xml:space="preserve">24.01.2019 </w:t>
            </w:r>
            <w:r>
              <w:rPr>
                <w:rFonts w:cs="Times New Roman" w:ascii="Times New Roman" w:hAnsi="Times New Roman"/>
              </w:rPr>
              <w:t>№ 13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7"/>
        <w:rPr/>
      </w:pPr>
      <w:r>
        <w:rPr>
          <w:sz w:val="26"/>
        </w:rPr>
        <w:t xml:space="preserve">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почтового адреса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 о с т а н о в л я е т: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>
          <w:sz w:val="24"/>
          <w:szCs w:val="24"/>
        </w:rPr>
        <w:t>Вновь построенному зданию гаража,  расположенному  на земельном участке  площадью 75 кв. м с кадастровым  номером 21:07:250503:90, присвоить следующий почтовый адрес: Чувашская Республика, Аликовский район, деревня  Верхние  Татмыши, ул. Пушкина, дом № 3 а.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Ефремкасинского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                                                    В.М.Ефимов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3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5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rStyle w:val="Style15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rStyle w:val="Style15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1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24.01.2019г. № 13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1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1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  <w:u w:val="single"/>
              </w:rPr>
              <w:t xml:space="preserve">24.01.2019 </w:t>
            </w:r>
            <w:r>
              <w:rPr>
                <w:rFonts w:cs="Times New Roman" w:ascii="Times New Roman" w:hAnsi="Times New Roman"/>
              </w:rPr>
              <w:t>№ 13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7"/>
        <w:rPr/>
      </w:pPr>
      <w:r>
        <w:rPr>
          <w:sz w:val="26"/>
        </w:rPr>
        <w:t xml:space="preserve">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почтового адреса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 о с т а н о в л я е т:</w:t>
      </w:r>
    </w:p>
    <w:p>
      <w:pPr>
        <w:pStyle w:val="Normal"/>
        <w:numPr>
          <w:ilvl w:val="0"/>
          <w:numId w:val="2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Вновь построенному строению,  расположенному  на земельном участке  площадью 75 кв. м с кадастровым  номером 21:07:250503:90, присвоить следующий почтовый адрес: Чувашская Республика-Чувашия, Аликовский муниципальный район, сельское поселение Ефремкасинское, деревня  Верхние  Татмыши, улица  Пушкина, дом № 3а.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Ефремкасинского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                                                    В.М.Ефимов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5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ABE8-3F84-42C5-854F-2966D0F0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LibreOffice/5.1.3.2$Windows_x86 LibreOffice_project/644e4637d1d8544fd9f56425bd6cec110e49301b</Application>
  <Pages>3</Pages>
  <Words>272</Words>
  <Characters>1863</Characters>
  <CharactersWithSpaces>2488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2019-01-14T08:03:00Z</dcterms:created>
  <dc:creator>user</dc:creator>
  <dc:description/>
  <dc:language>ru-RU</dc:language>
  <cp:lastModifiedBy/>
  <cp:lastPrinted>2019-01-24T09:28:00Z</cp:lastPrinted>
  <dcterms:modified xsi:type="dcterms:W3CDTF">2019-02-13T13:19:31Z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