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643BD1" w:rsidRPr="00A84FC6" w:rsidTr="007E544B">
        <w:tc>
          <w:tcPr>
            <w:tcW w:w="3936" w:type="dxa"/>
            <w:gridSpan w:val="3"/>
          </w:tcPr>
          <w:p w:rsidR="00643BD1" w:rsidRPr="00A84FC6" w:rsidRDefault="00643BD1" w:rsidP="00643BD1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A84FC6">
              <w:rPr>
                <w:noProof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2472690</wp:posOffset>
                  </wp:positionH>
                  <wp:positionV relativeFrom="paragraph">
                    <wp:posOffset>-453390</wp:posOffset>
                  </wp:positionV>
                  <wp:extent cx="933450" cy="92392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84FC6">
              <w:rPr>
                <w:b/>
                <w:sz w:val="28"/>
                <w:szCs w:val="28"/>
              </w:rPr>
              <w:t>Чăваш Республики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4FC6">
              <w:rPr>
                <w:rFonts w:ascii="Times New Roman" w:hAnsi="Times New Roman" w:cs="Times New Roman"/>
                <w:b/>
                <w:sz w:val="28"/>
              </w:rPr>
              <w:t xml:space="preserve"> Муркаш районĕ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FC6">
              <w:rPr>
                <w:rFonts w:ascii="Times New Roman" w:hAnsi="Times New Roman" w:cs="Times New Roman"/>
                <w:b/>
                <w:sz w:val="28"/>
              </w:rPr>
              <w:t xml:space="preserve">  Муркаш ял   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FC6">
              <w:rPr>
                <w:rFonts w:ascii="Times New Roman" w:hAnsi="Times New Roman" w:cs="Times New Roman"/>
                <w:b/>
                <w:sz w:val="28"/>
              </w:rPr>
              <w:t xml:space="preserve">поселенийĕн 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FC6">
              <w:rPr>
                <w:rFonts w:ascii="Times New Roman" w:hAnsi="Times New Roman" w:cs="Times New Roman"/>
                <w:b/>
                <w:sz w:val="28"/>
              </w:rPr>
              <w:t>депутачěсен пух</w:t>
            </w:r>
            <w:r w:rsidRPr="00A84FC6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A84FC6">
              <w:rPr>
                <w:rFonts w:ascii="Times New Roman" w:hAnsi="Times New Roman" w:cs="Times New Roman"/>
                <w:b/>
                <w:sz w:val="28"/>
              </w:rPr>
              <w:t xml:space="preserve">вĕ                        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84FC6">
              <w:rPr>
                <w:rFonts w:ascii="Times New Roman" w:hAnsi="Times New Roman" w:cs="Times New Roman"/>
                <w:b/>
                <w:sz w:val="40"/>
              </w:rPr>
              <w:t xml:space="preserve">ЙЫШĂНУ  </w:t>
            </w:r>
            <w:r w:rsidRPr="00A84FC6">
              <w:rPr>
                <w:rFonts w:ascii="Times New Roman" w:hAnsi="Times New Roman" w:cs="Times New Roman"/>
                <w:b/>
                <w:sz w:val="36"/>
              </w:rPr>
              <w:t xml:space="preserve">                   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84FC6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559" w:type="dxa"/>
          </w:tcPr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4FC6">
              <w:rPr>
                <w:rFonts w:ascii="Times New Roman" w:hAnsi="Times New Roman" w:cs="Times New Roman"/>
                <w:b/>
                <w:sz w:val="28"/>
              </w:rPr>
              <w:t>Чувашская Республика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FC6">
              <w:rPr>
                <w:rFonts w:ascii="Times New Roman" w:hAnsi="Times New Roman" w:cs="Times New Roman"/>
                <w:b/>
                <w:sz w:val="28"/>
              </w:rPr>
              <w:t xml:space="preserve"> Моргаушский район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FC6">
              <w:rPr>
                <w:rFonts w:ascii="Times New Roman" w:hAnsi="Times New Roman" w:cs="Times New Roman"/>
                <w:b/>
                <w:sz w:val="28"/>
              </w:rPr>
              <w:t>Собрание депутатов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FC6">
              <w:rPr>
                <w:rFonts w:ascii="Times New Roman" w:hAnsi="Times New Roman" w:cs="Times New Roman"/>
                <w:b/>
                <w:sz w:val="28"/>
              </w:rPr>
              <w:t xml:space="preserve"> Моргаушского 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FC6">
              <w:rPr>
                <w:rFonts w:ascii="Times New Roman" w:hAnsi="Times New Roman" w:cs="Times New Roman"/>
                <w:b/>
                <w:sz w:val="28"/>
              </w:rPr>
              <w:t xml:space="preserve">  сельского поселения</w:t>
            </w:r>
          </w:p>
          <w:p w:rsidR="00643BD1" w:rsidRPr="00A84FC6" w:rsidRDefault="00643BD1" w:rsidP="00643BD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84FC6">
              <w:rPr>
                <w:rFonts w:ascii="Times New Roman" w:hAnsi="Times New Roman" w:cs="Times New Roman"/>
                <w:sz w:val="40"/>
                <w:szCs w:val="40"/>
              </w:rPr>
              <w:t>РЕШЕНИЕ</w:t>
            </w:r>
          </w:p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43BD1" w:rsidRPr="00A84FC6" w:rsidTr="007E544B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BD1" w:rsidRPr="00A84FC6" w:rsidRDefault="00C24A86" w:rsidP="00C24A86">
            <w:pPr>
              <w:pStyle w:val="2"/>
              <w:tabs>
                <w:tab w:val="left" w:pos="1020"/>
              </w:tabs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28.10.</w:t>
            </w:r>
          </w:p>
        </w:tc>
        <w:tc>
          <w:tcPr>
            <w:tcW w:w="1304" w:type="dxa"/>
          </w:tcPr>
          <w:p w:rsidR="00643BD1" w:rsidRPr="00A84FC6" w:rsidRDefault="00643BD1" w:rsidP="00643BD1">
            <w:pPr>
              <w:pStyle w:val="2"/>
              <w:rPr>
                <w:b/>
                <w:noProof/>
                <w:szCs w:val="24"/>
              </w:rPr>
            </w:pPr>
            <w:r w:rsidRPr="00A84FC6">
              <w:rPr>
                <w:b/>
                <w:szCs w:val="24"/>
              </w:rPr>
              <w:t xml:space="preserve">2019ç.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BD1" w:rsidRPr="00A84FC6" w:rsidRDefault="00D33083" w:rsidP="00D33083">
            <w:pPr>
              <w:pStyle w:val="2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С-65/2</w:t>
            </w:r>
          </w:p>
        </w:tc>
        <w:tc>
          <w:tcPr>
            <w:tcW w:w="1559" w:type="dxa"/>
          </w:tcPr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BD1" w:rsidRPr="00A84FC6" w:rsidRDefault="00C24A86" w:rsidP="00C24A86">
            <w:pPr>
              <w:pStyle w:val="2"/>
              <w:tabs>
                <w:tab w:val="left" w:pos="1020"/>
              </w:tabs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28.10.</w:t>
            </w:r>
          </w:p>
        </w:tc>
        <w:tc>
          <w:tcPr>
            <w:tcW w:w="1360" w:type="dxa"/>
          </w:tcPr>
          <w:p w:rsidR="00643BD1" w:rsidRPr="00A84FC6" w:rsidRDefault="00643BD1" w:rsidP="00643BD1">
            <w:pPr>
              <w:pStyle w:val="2"/>
              <w:rPr>
                <w:b/>
                <w:noProof/>
                <w:szCs w:val="24"/>
              </w:rPr>
            </w:pPr>
            <w:r w:rsidRPr="00A84FC6">
              <w:rPr>
                <w:b/>
                <w:szCs w:val="24"/>
              </w:rPr>
              <w:t xml:space="preserve">2019г. №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BD1" w:rsidRPr="00A84FC6" w:rsidRDefault="00D33083" w:rsidP="00D33083">
            <w:pPr>
              <w:pStyle w:val="2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С-65/2</w:t>
            </w:r>
          </w:p>
        </w:tc>
      </w:tr>
      <w:tr w:rsidR="00643BD1" w:rsidRPr="00A84FC6" w:rsidTr="007E544B">
        <w:tc>
          <w:tcPr>
            <w:tcW w:w="3936" w:type="dxa"/>
            <w:gridSpan w:val="3"/>
          </w:tcPr>
          <w:p w:rsidR="00643BD1" w:rsidRPr="00A84FC6" w:rsidRDefault="00643BD1" w:rsidP="00643BD1">
            <w:pPr>
              <w:pStyle w:val="2"/>
              <w:jc w:val="center"/>
              <w:rPr>
                <w:b/>
                <w:noProof/>
                <w:sz w:val="18"/>
              </w:rPr>
            </w:pPr>
            <w:r w:rsidRPr="00A84FC6">
              <w:rPr>
                <w:b/>
                <w:sz w:val="18"/>
              </w:rPr>
              <w:t>Муркаш сали</w:t>
            </w:r>
          </w:p>
        </w:tc>
        <w:tc>
          <w:tcPr>
            <w:tcW w:w="1559" w:type="dxa"/>
          </w:tcPr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643BD1" w:rsidRPr="00A84FC6" w:rsidRDefault="00643BD1" w:rsidP="0064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4FC6">
              <w:rPr>
                <w:rFonts w:ascii="Times New Roman" w:hAnsi="Times New Roman" w:cs="Times New Roman"/>
                <w:b/>
                <w:sz w:val="18"/>
              </w:rPr>
              <w:t xml:space="preserve"> село Моргауши</w:t>
            </w:r>
          </w:p>
        </w:tc>
      </w:tr>
    </w:tbl>
    <w:p w:rsidR="00643BD1" w:rsidRPr="00A84FC6" w:rsidRDefault="00643BD1" w:rsidP="00643B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09" w:type="dxa"/>
        <w:tblLook w:val="01E0"/>
      </w:tblPr>
      <w:tblGrid>
        <w:gridCol w:w="4503"/>
        <w:gridCol w:w="5206"/>
      </w:tblGrid>
      <w:tr w:rsidR="00643BD1" w:rsidRPr="00A84FC6" w:rsidTr="007E54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BD1" w:rsidRPr="00A84FC6" w:rsidRDefault="00643BD1" w:rsidP="0064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C6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принятия решений об условиях приватизации муниципального имущества Моргаушского сельского поселения Моргаушского района Чувашской Республики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BD1" w:rsidRPr="00A84FC6" w:rsidRDefault="00643BD1" w:rsidP="00643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BD1" w:rsidRPr="00A84FC6" w:rsidRDefault="00643BD1" w:rsidP="00643BD1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43BD1" w:rsidRPr="00C24A8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8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C24A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4A86">
        <w:rPr>
          <w:rFonts w:ascii="Times New Roman" w:hAnsi="Times New Roman" w:cs="Times New Roman"/>
          <w:sz w:val="24"/>
          <w:szCs w:val="24"/>
        </w:rPr>
        <w:t xml:space="preserve"> от 21 декабря 2001 г. N 178-ФЗ "О приватизации государственного и муниципального имущества", в целях приведения в соответствие с действующим законодательством нормативных правовых актов органов местного самоуправления</w:t>
      </w:r>
      <w:r w:rsidR="00394334" w:rsidRPr="00C24A86">
        <w:rPr>
          <w:rFonts w:ascii="Times New Roman" w:hAnsi="Times New Roman" w:cs="Times New Roman"/>
          <w:sz w:val="24"/>
          <w:szCs w:val="24"/>
        </w:rPr>
        <w:t xml:space="preserve"> администрации Моргаушского сельского поселения </w:t>
      </w:r>
      <w:r w:rsidRPr="00C24A86">
        <w:rPr>
          <w:rFonts w:ascii="Times New Roman" w:hAnsi="Times New Roman" w:cs="Times New Roman"/>
          <w:sz w:val="24"/>
          <w:szCs w:val="24"/>
        </w:rPr>
        <w:t xml:space="preserve"> в области управления муниципальным имуществом </w:t>
      </w:r>
      <w:r w:rsidR="00394334" w:rsidRPr="00C24A8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Pr="00C24A86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394334" w:rsidRPr="00C24A8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Pr="00C24A86">
        <w:rPr>
          <w:rFonts w:ascii="Times New Roman" w:hAnsi="Times New Roman" w:cs="Times New Roman"/>
          <w:sz w:val="24"/>
          <w:szCs w:val="24"/>
        </w:rPr>
        <w:t xml:space="preserve"> </w:t>
      </w:r>
      <w:r w:rsidRPr="00C24A86">
        <w:rPr>
          <w:rFonts w:ascii="Times New Roman" w:hAnsi="Times New Roman" w:cs="Times New Roman"/>
          <w:b/>
          <w:sz w:val="24"/>
          <w:szCs w:val="24"/>
        </w:rPr>
        <w:t>р</w:t>
      </w:r>
      <w:r w:rsidR="00592A56" w:rsidRPr="00C2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A86">
        <w:rPr>
          <w:rFonts w:ascii="Times New Roman" w:hAnsi="Times New Roman" w:cs="Times New Roman"/>
          <w:b/>
          <w:sz w:val="24"/>
          <w:szCs w:val="24"/>
        </w:rPr>
        <w:t>е</w:t>
      </w:r>
      <w:r w:rsidR="00592A56" w:rsidRPr="00C2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A86">
        <w:rPr>
          <w:rFonts w:ascii="Times New Roman" w:hAnsi="Times New Roman" w:cs="Times New Roman"/>
          <w:b/>
          <w:sz w:val="24"/>
          <w:szCs w:val="24"/>
        </w:rPr>
        <w:t>ш</w:t>
      </w:r>
      <w:r w:rsidR="00592A56" w:rsidRPr="00C2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A86">
        <w:rPr>
          <w:rFonts w:ascii="Times New Roman" w:hAnsi="Times New Roman" w:cs="Times New Roman"/>
          <w:b/>
          <w:sz w:val="24"/>
          <w:szCs w:val="24"/>
        </w:rPr>
        <w:t>и</w:t>
      </w:r>
      <w:r w:rsidR="00592A56" w:rsidRPr="00C2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A86">
        <w:rPr>
          <w:rFonts w:ascii="Times New Roman" w:hAnsi="Times New Roman" w:cs="Times New Roman"/>
          <w:b/>
          <w:sz w:val="24"/>
          <w:szCs w:val="24"/>
        </w:rPr>
        <w:t>л</w:t>
      </w:r>
      <w:r w:rsidR="00592A56" w:rsidRPr="00C2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A86">
        <w:rPr>
          <w:rFonts w:ascii="Times New Roman" w:hAnsi="Times New Roman" w:cs="Times New Roman"/>
          <w:b/>
          <w:sz w:val="24"/>
          <w:szCs w:val="24"/>
        </w:rPr>
        <w:t>о:</w:t>
      </w:r>
    </w:p>
    <w:p w:rsidR="00643BD1" w:rsidRPr="00C24A8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A8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24A8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24A86">
        <w:rPr>
          <w:rFonts w:ascii="Times New Roman" w:hAnsi="Times New Roman" w:cs="Times New Roman"/>
          <w:sz w:val="24"/>
          <w:szCs w:val="24"/>
        </w:rPr>
        <w:t xml:space="preserve"> принятия решений об условиях приватизации муниципального имущества </w:t>
      </w:r>
      <w:r w:rsidR="00394334" w:rsidRPr="00C24A86">
        <w:rPr>
          <w:rFonts w:ascii="Times New Roman" w:hAnsi="Times New Roman" w:cs="Times New Roman"/>
          <w:sz w:val="24"/>
          <w:szCs w:val="24"/>
        </w:rPr>
        <w:t>Моргаушского сельского поселения Моргаушского района Чувашской Республики</w:t>
      </w:r>
      <w:r w:rsidRPr="00C24A86">
        <w:rPr>
          <w:rFonts w:ascii="Times New Roman" w:hAnsi="Times New Roman" w:cs="Times New Roman"/>
          <w:sz w:val="24"/>
          <w:szCs w:val="24"/>
        </w:rPr>
        <w:t>.</w:t>
      </w:r>
    </w:p>
    <w:p w:rsidR="00A603CF" w:rsidRPr="00C24A86" w:rsidRDefault="00394334" w:rsidP="00C24A86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86">
        <w:rPr>
          <w:rFonts w:ascii="Times New Roman" w:hAnsi="Times New Roman" w:cs="Times New Roman"/>
          <w:sz w:val="24"/>
          <w:szCs w:val="24"/>
        </w:rPr>
        <w:t xml:space="preserve">2. </w:t>
      </w:r>
      <w:r w:rsidR="00A603CF" w:rsidRPr="00C24A86"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A603CF" w:rsidRPr="00C24A86" w:rsidRDefault="00A603CF" w:rsidP="00C24A86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A86">
        <w:rPr>
          <w:rFonts w:ascii="Times New Roman" w:eastAsia="Calibri" w:hAnsi="Times New Roman" w:cs="Times New Roman"/>
          <w:sz w:val="24"/>
          <w:szCs w:val="24"/>
        </w:rPr>
        <w:t>-  решение Собрания депутатов Моргаушского сельского поселения  Моргаушского района  Чувашской Республики</w:t>
      </w:r>
      <w:r w:rsidRPr="00C24A86">
        <w:rPr>
          <w:rFonts w:ascii="Times New Roman" w:hAnsi="Times New Roman" w:cs="Times New Roman"/>
          <w:sz w:val="24"/>
          <w:szCs w:val="24"/>
        </w:rPr>
        <w:t xml:space="preserve"> от 19</w:t>
      </w:r>
      <w:r w:rsidRPr="00C24A86">
        <w:rPr>
          <w:rFonts w:ascii="Times New Roman" w:eastAsia="Calibri" w:hAnsi="Times New Roman" w:cs="Times New Roman"/>
          <w:sz w:val="24"/>
          <w:szCs w:val="24"/>
        </w:rPr>
        <w:t>.</w:t>
      </w:r>
      <w:r w:rsidRPr="00C24A86">
        <w:rPr>
          <w:rFonts w:ascii="Times New Roman" w:hAnsi="Times New Roman" w:cs="Times New Roman"/>
          <w:sz w:val="24"/>
          <w:szCs w:val="24"/>
        </w:rPr>
        <w:t>04</w:t>
      </w:r>
      <w:r w:rsidRPr="00C24A86">
        <w:rPr>
          <w:rFonts w:ascii="Times New Roman" w:eastAsia="Calibri" w:hAnsi="Times New Roman" w:cs="Times New Roman"/>
          <w:sz w:val="24"/>
          <w:szCs w:val="24"/>
        </w:rPr>
        <w:t>.20</w:t>
      </w:r>
      <w:r w:rsidRPr="00C24A86">
        <w:rPr>
          <w:rFonts w:ascii="Times New Roman" w:hAnsi="Times New Roman" w:cs="Times New Roman"/>
          <w:sz w:val="24"/>
          <w:szCs w:val="24"/>
        </w:rPr>
        <w:t>13</w:t>
      </w:r>
      <w:r w:rsidRPr="00C24A86">
        <w:rPr>
          <w:rFonts w:ascii="Times New Roman" w:eastAsia="Calibri" w:hAnsi="Times New Roman" w:cs="Times New Roman"/>
          <w:sz w:val="24"/>
          <w:szCs w:val="24"/>
        </w:rPr>
        <w:t xml:space="preserve"> №С-3</w:t>
      </w:r>
      <w:r w:rsidRPr="00C24A86">
        <w:rPr>
          <w:rFonts w:ascii="Times New Roman" w:hAnsi="Times New Roman" w:cs="Times New Roman"/>
          <w:sz w:val="24"/>
          <w:szCs w:val="24"/>
        </w:rPr>
        <w:t>8</w:t>
      </w:r>
      <w:r w:rsidRPr="00C24A86">
        <w:rPr>
          <w:rFonts w:ascii="Times New Roman" w:eastAsia="Calibri" w:hAnsi="Times New Roman" w:cs="Times New Roman"/>
          <w:sz w:val="24"/>
          <w:szCs w:val="24"/>
        </w:rPr>
        <w:t xml:space="preserve">/1 «О </w:t>
      </w:r>
      <w:r w:rsidRPr="00C24A86">
        <w:rPr>
          <w:rFonts w:ascii="Times New Roman" w:hAnsi="Times New Roman" w:cs="Times New Roman"/>
          <w:sz w:val="24"/>
          <w:szCs w:val="24"/>
        </w:rPr>
        <w:t>порядке принятия решений об условиях приватизации муниципального имущества Моргаушского сельского поселения Моргаушского района Чувашской Республики</w:t>
      </w:r>
      <w:r w:rsidRPr="00C24A8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43BD1" w:rsidRPr="00C24A86" w:rsidRDefault="00A603CF" w:rsidP="00C24A86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A86">
        <w:rPr>
          <w:rFonts w:ascii="Times New Roman" w:hAnsi="Times New Roman" w:cs="Times New Roman"/>
          <w:sz w:val="24"/>
          <w:szCs w:val="24"/>
        </w:rPr>
        <w:t xml:space="preserve">- </w:t>
      </w:r>
      <w:r w:rsidRPr="00C24A86">
        <w:rPr>
          <w:rFonts w:ascii="Times New Roman" w:eastAsia="Calibri" w:hAnsi="Times New Roman" w:cs="Times New Roman"/>
          <w:sz w:val="24"/>
          <w:szCs w:val="24"/>
        </w:rPr>
        <w:t>решение Собрания депутатов Моргаушского сельского поселения  Моргаушского района  Чувашской Республики</w:t>
      </w:r>
      <w:r w:rsidR="00592A56" w:rsidRPr="00C24A86">
        <w:rPr>
          <w:rFonts w:ascii="Times New Roman" w:hAnsi="Times New Roman" w:cs="Times New Roman"/>
          <w:sz w:val="24"/>
          <w:szCs w:val="24"/>
        </w:rPr>
        <w:t xml:space="preserve"> от 15</w:t>
      </w:r>
      <w:r w:rsidRPr="00C24A86">
        <w:rPr>
          <w:rFonts w:ascii="Times New Roman" w:eastAsia="Calibri" w:hAnsi="Times New Roman" w:cs="Times New Roman"/>
          <w:sz w:val="24"/>
          <w:szCs w:val="24"/>
        </w:rPr>
        <w:t>.</w:t>
      </w:r>
      <w:r w:rsidR="00592A56" w:rsidRPr="00C24A86">
        <w:rPr>
          <w:rFonts w:ascii="Times New Roman" w:hAnsi="Times New Roman" w:cs="Times New Roman"/>
          <w:sz w:val="24"/>
          <w:szCs w:val="24"/>
        </w:rPr>
        <w:t>10</w:t>
      </w:r>
      <w:r w:rsidRPr="00C24A86">
        <w:rPr>
          <w:rFonts w:ascii="Times New Roman" w:eastAsia="Calibri" w:hAnsi="Times New Roman" w:cs="Times New Roman"/>
          <w:sz w:val="24"/>
          <w:szCs w:val="24"/>
        </w:rPr>
        <w:t>.20</w:t>
      </w:r>
      <w:r w:rsidRPr="00C24A86">
        <w:rPr>
          <w:rFonts w:ascii="Times New Roman" w:hAnsi="Times New Roman" w:cs="Times New Roman"/>
          <w:sz w:val="24"/>
          <w:szCs w:val="24"/>
        </w:rPr>
        <w:t>13</w:t>
      </w:r>
      <w:r w:rsidRPr="00C24A86">
        <w:rPr>
          <w:rFonts w:ascii="Times New Roman" w:eastAsia="Calibri" w:hAnsi="Times New Roman" w:cs="Times New Roman"/>
          <w:sz w:val="24"/>
          <w:szCs w:val="24"/>
        </w:rPr>
        <w:t xml:space="preserve"> №С-</w:t>
      </w:r>
      <w:r w:rsidR="00592A56" w:rsidRPr="00C24A86">
        <w:rPr>
          <w:rFonts w:ascii="Times New Roman" w:hAnsi="Times New Roman" w:cs="Times New Roman"/>
          <w:sz w:val="24"/>
          <w:szCs w:val="24"/>
        </w:rPr>
        <w:t>43</w:t>
      </w:r>
      <w:r w:rsidRPr="00C24A86">
        <w:rPr>
          <w:rFonts w:ascii="Times New Roman" w:eastAsia="Calibri" w:hAnsi="Times New Roman" w:cs="Times New Roman"/>
          <w:sz w:val="24"/>
          <w:szCs w:val="24"/>
        </w:rPr>
        <w:t>/</w:t>
      </w:r>
      <w:r w:rsidR="00592A56" w:rsidRPr="00C24A86">
        <w:rPr>
          <w:rFonts w:ascii="Times New Roman" w:hAnsi="Times New Roman" w:cs="Times New Roman"/>
          <w:sz w:val="24"/>
          <w:szCs w:val="24"/>
        </w:rPr>
        <w:t>3</w:t>
      </w:r>
      <w:r w:rsidRPr="00C24A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A86">
        <w:rPr>
          <w:rFonts w:ascii="Times New Roman" w:hAnsi="Times New Roman" w:cs="Times New Roman"/>
          <w:sz w:val="24"/>
          <w:szCs w:val="24"/>
        </w:rPr>
        <w:t>«</w:t>
      </w:r>
      <w:r w:rsidRPr="00C24A86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Собрания депутатов Моргаушского сельского поселения  Моргаушского района  Чувашской Республики</w:t>
      </w:r>
      <w:r w:rsidRPr="00C24A86">
        <w:rPr>
          <w:rFonts w:ascii="Times New Roman" w:hAnsi="Times New Roman" w:cs="Times New Roman"/>
          <w:sz w:val="24"/>
          <w:szCs w:val="24"/>
        </w:rPr>
        <w:t xml:space="preserve"> от 19</w:t>
      </w:r>
      <w:r w:rsidRPr="00C24A86">
        <w:rPr>
          <w:rFonts w:ascii="Times New Roman" w:eastAsia="Calibri" w:hAnsi="Times New Roman" w:cs="Times New Roman"/>
          <w:sz w:val="24"/>
          <w:szCs w:val="24"/>
        </w:rPr>
        <w:t>.</w:t>
      </w:r>
      <w:r w:rsidRPr="00C24A86">
        <w:rPr>
          <w:rFonts w:ascii="Times New Roman" w:hAnsi="Times New Roman" w:cs="Times New Roman"/>
          <w:sz w:val="24"/>
          <w:szCs w:val="24"/>
        </w:rPr>
        <w:t>04</w:t>
      </w:r>
      <w:r w:rsidRPr="00C24A86">
        <w:rPr>
          <w:rFonts w:ascii="Times New Roman" w:eastAsia="Calibri" w:hAnsi="Times New Roman" w:cs="Times New Roman"/>
          <w:sz w:val="24"/>
          <w:szCs w:val="24"/>
        </w:rPr>
        <w:t>.20</w:t>
      </w:r>
      <w:r w:rsidRPr="00C24A86">
        <w:rPr>
          <w:rFonts w:ascii="Times New Roman" w:hAnsi="Times New Roman" w:cs="Times New Roman"/>
          <w:sz w:val="24"/>
          <w:szCs w:val="24"/>
        </w:rPr>
        <w:t>13</w:t>
      </w:r>
      <w:r w:rsidRPr="00C24A86">
        <w:rPr>
          <w:rFonts w:ascii="Times New Roman" w:eastAsia="Calibri" w:hAnsi="Times New Roman" w:cs="Times New Roman"/>
          <w:sz w:val="24"/>
          <w:szCs w:val="24"/>
        </w:rPr>
        <w:t xml:space="preserve"> №С-3</w:t>
      </w:r>
      <w:r w:rsidRPr="00C24A86">
        <w:rPr>
          <w:rFonts w:ascii="Times New Roman" w:hAnsi="Times New Roman" w:cs="Times New Roman"/>
          <w:sz w:val="24"/>
          <w:szCs w:val="24"/>
        </w:rPr>
        <w:t>8</w:t>
      </w:r>
      <w:r w:rsidRPr="00C24A86">
        <w:rPr>
          <w:rFonts w:ascii="Times New Roman" w:eastAsia="Calibri" w:hAnsi="Times New Roman" w:cs="Times New Roman"/>
          <w:sz w:val="24"/>
          <w:szCs w:val="24"/>
        </w:rPr>
        <w:t xml:space="preserve">/1 </w:t>
      </w:r>
      <w:r w:rsidRPr="00C24A86">
        <w:rPr>
          <w:rFonts w:ascii="Times New Roman" w:hAnsi="Times New Roman" w:cs="Times New Roman"/>
          <w:sz w:val="24"/>
          <w:szCs w:val="24"/>
        </w:rPr>
        <w:t xml:space="preserve"> </w:t>
      </w:r>
      <w:r w:rsidRPr="00C24A86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r w:rsidRPr="00C24A86">
        <w:rPr>
          <w:rFonts w:ascii="Times New Roman" w:hAnsi="Times New Roman" w:cs="Times New Roman"/>
          <w:sz w:val="24"/>
          <w:szCs w:val="24"/>
        </w:rPr>
        <w:t>порядке принятия решений об условиях приватизации муниципального имущества Моргаушского сельского поселения Моргаушского района Чувашской Республики</w:t>
      </w:r>
      <w:r w:rsidRPr="00C24A8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43BD1" w:rsidRPr="00C24A8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A86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43BD1" w:rsidRPr="00C24A8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C24A8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C24A8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C24A8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4A86">
        <w:rPr>
          <w:rFonts w:ascii="Times New Roman" w:hAnsi="Times New Roman" w:cs="Times New Roman"/>
          <w:sz w:val="24"/>
          <w:szCs w:val="24"/>
        </w:rPr>
        <w:t xml:space="preserve">Глава Моргаушского сельского поселения                                            </w:t>
      </w:r>
      <w:r w:rsidR="00D33083" w:rsidRPr="00C24A8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4A86">
        <w:rPr>
          <w:rFonts w:ascii="Times New Roman" w:hAnsi="Times New Roman" w:cs="Times New Roman"/>
          <w:sz w:val="24"/>
          <w:szCs w:val="24"/>
        </w:rPr>
        <w:t>А.В. Мясников</w:t>
      </w:r>
    </w:p>
    <w:p w:rsidR="00643BD1" w:rsidRPr="00C24A8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C24A8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A86" w:rsidRDefault="00C24A86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A86" w:rsidRPr="00C24A86" w:rsidRDefault="00C24A86" w:rsidP="00C24A8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4A86" w:rsidRDefault="00C24A86" w:rsidP="00C24A8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24A86">
        <w:rPr>
          <w:rFonts w:ascii="Times New Roman" w:hAnsi="Times New Roman" w:cs="Times New Roman"/>
          <w:sz w:val="16"/>
          <w:szCs w:val="16"/>
        </w:rPr>
        <w:t>Исп.Григорьева Е.А</w:t>
      </w:r>
    </w:p>
    <w:p w:rsidR="00C24A86" w:rsidRPr="00C24A86" w:rsidRDefault="00C24A86" w:rsidP="00C24A8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62-8-32</w:t>
      </w:r>
    </w:p>
    <w:p w:rsidR="00643BD1" w:rsidRPr="00C24A8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083" w:rsidRPr="00A84FC6" w:rsidRDefault="00D33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53" w:type="dxa"/>
        <w:tblLook w:val="04A0"/>
      </w:tblPr>
      <w:tblGrid>
        <w:gridCol w:w="4361"/>
      </w:tblGrid>
      <w:tr w:rsidR="00C24A86" w:rsidRPr="00D41AF4" w:rsidTr="00C523D8">
        <w:tc>
          <w:tcPr>
            <w:tcW w:w="4361" w:type="dxa"/>
            <w:hideMark/>
          </w:tcPr>
          <w:p w:rsidR="00C24A86" w:rsidRPr="00C24A86" w:rsidRDefault="00C24A86" w:rsidP="00C24A8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2"/>
            <w:bookmarkEnd w:id="0"/>
            <w:r w:rsidRPr="00C24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решением  Собрания депутатов Моргаушского сельского поселения Моргаушского района Чувашской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Pr="00C24A86">
              <w:rPr>
                <w:rFonts w:ascii="Times New Roman" w:hAnsi="Times New Roman" w:cs="Times New Roman"/>
                <w:sz w:val="24"/>
                <w:szCs w:val="24"/>
              </w:rPr>
              <w:t>2019г. № С-65/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4A86" w:rsidRPr="00C24A86" w:rsidRDefault="00C24A86" w:rsidP="00C24A8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4A86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C24A86" w:rsidRDefault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ПОРЯДОК</w:t>
      </w:r>
    </w:p>
    <w:p w:rsidR="00643BD1" w:rsidRPr="00A84FC6" w:rsidRDefault="00643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ПРИНЯТИЯ РЕШЕНИЙ ОБ УСЛОВИЯХ ПРИВАТИЗАЦИИ</w:t>
      </w:r>
    </w:p>
    <w:p w:rsidR="00643BD1" w:rsidRPr="00A84FC6" w:rsidRDefault="00643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394334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 МОРГАУШСКОГО РАЙОНА ЧУВАШСКОЙ РЕСПУБЛИКИ</w:t>
      </w:r>
    </w:p>
    <w:p w:rsidR="00643BD1" w:rsidRPr="00A84FC6" w:rsidRDefault="00643BD1" w:rsidP="00C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1.1. Настоящий Порядок принятия решений об условиях приватизации муниципального имущества </w:t>
      </w:r>
      <w:r w:rsidR="00E57A7D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 Моргаушского района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требованиями Федерального </w:t>
      </w:r>
      <w:hyperlink r:id="rId8" w:history="1">
        <w:r w:rsidRPr="00A84FC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 (далее - Закон о приватизации) и устанавливает процедуру принятия решений об условиях приватизации муниципального имущества </w:t>
      </w:r>
      <w:r w:rsidR="00F2642B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="00F2642B" w:rsidRPr="00A84FC6">
        <w:rPr>
          <w:rFonts w:ascii="Times New Roman" w:hAnsi="Times New Roman" w:cs="Times New Roman"/>
          <w:sz w:val="24"/>
          <w:szCs w:val="24"/>
        </w:rPr>
        <w:t xml:space="preserve">Мргаушского </w:t>
      </w:r>
      <w:r w:rsidRPr="00A84FC6">
        <w:rPr>
          <w:rFonts w:ascii="Times New Roman" w:hAnsi="Times New Roman" w:cs="Times New Roman"/>
          <w:sz w:val="24"/>
          <w:szCs w:val="24"/>
        </w:rPr>
        <w:t>района</w:t>
      </w:r>
      <w:r w:rsidR="00F2642B" w:rsidRPr="00A84FC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 xml:space="preserve"> (далее - муниципальное имущество), ограничения при проведении приватизации.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1.2. Продавцом приватизируемого муниципального имущества является </w:t>
      </w:r>
      <w:r w:rsidR="00F2642B" w:rsidRPr="00A84FC6">
        <w:rPr>
          <w:rFonts w:ascii="Times New Roman" w:hAnsi="Times New Roman" w:cs="Times New Roman"/>
          <w:sz w:val="24"/>
          <w:szCs w:val="24"/>
        </w:rPr>
        <w:t>администрация Моргаушского сельского поселения Моргаушского района</w:t>
      </w:r>
      <w:r w:rsidRPr="00A84FC6">
        <w:rPr>
          <w:rFonts w:ascii="Times New Roman" w:hAnsi="Times New Roman" w:cs="Times New Roman"/>
          <w:sz w:val="24"/>
          <w:szCs w:val="24"/>
        </w:rPr>
        <w:t xml:space="preserve"> Чувашской Республики, действующий в соответствии с Федеральным </w:t>
      </w:r>
      <w:hyperlink r:id="rId9" w:history="1">
        <w:r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иными нормативными правовыми актами, его положением и настоящим Порядком.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1.3. Покупателями приватизируемого муниципального имущества (далее - Покупатели) могут быть лица, установленные </w:t>
      </w:r>
      <w:r w:rsidR="00DD7241" w:rsidRPr="00A84FC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D7241"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D7241" w:rsidRPr="00A84FC6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</w:t>
      </w:r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1.4. Приватизация муниципального имущества осуществляется способами, предусмотренными </w:t>
      </w:r>
      <w:r w:rsidR="00DD7241" w:rsidRPr="00A84FC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DD7241"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D7241" w:rsidRPr="00A84FC6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</w:t>
      </w:r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2. Классификация муниципального имущества</w:t>
      </w:r>
    </w:p>
    <w:p w:rsidR="00643BD1" w:rsidRPr="00A84FC6" w:rsidRDefault="00643BD1" w:rsidP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по возможности его приватизации</w:t>
      </w:r>
    </w:p>
    <w:p w:rsidR="00C714BE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2.1. Муниципальное имущество подлежит приватизации после его включения в прогнозный план (программу) приватизации муниципального имущества.</w:t>
      </w:r>
    </w:p>
    <w:p w:rsidR="00C714BE" w:rsidRPr="00A84FC6" w:rsidRDefault="00C714BE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2.2. Имущество, приватизация которого запрещена, определяется законодательством Российской Федерации.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2.</w:t>
      </w:r>
      <w:r w:rsidR="00C714BE" w:rsidRPr="00A84FC6">
        <w:rPr>
          <w:rFonts w:ascii="Times New Roman" w:hAnsi="Times New Roman" w:cs="Times New Roman"/>
          <w:sz w:val="24"/>
          <w:szCs w:val="24"/>
        </w:rPr>
        <w:t>3</w:t>
      </w:r>
      <w:r w:rsidRPr="00A84FC6">
        <w:rPr>
          <w:rFonts w:ascii="Times New Roman" w:hAnsi="Times New Roman" w:cs="Times New Roman"/>
          <w:sz w:val="24"/>
          <w:szCs w:val="24"/>
        </w:rPr>
        <w:t>. Не включается в прогнозный план (программу) приватизации муниципального имущества и приватизируется по решению об условиях приват</w:t>
      </w:r>
      <w:r w:rsidR="00C714BE" w:rsidRPr="00A84FC6">
        <w:rPr>
          <w:rFonts w:ascii="Times New Roman" w:hAnsi="Times New Roman" w:cs="Times New Roman"/>
          <w:sz w:val="24"/>
          <w:szCs w:val="24"/>
        </w:rPr>
        <w:t xml:space="preserve">изации муниципального имущества </w:t>
      </w:r>
      <w:r w:rsidR="00F2642B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 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 xml:space="preserve"> движимое имущество, составляющее казну </w:t>
      </w:r>
      <w:r w:rsidR="00F2642B" w:rsidRPr="00A84FC6">
        <w:rPr>
          <w:rFonts w:ascii="Times New Roman" w:hAnsi="Times New Roman" w:cs="Times New Roman"/>
          <w:sz w:val="24"/>
          <w:szCs w:val="24"/>
        </w:rPr>
        <w:t>администрации Моргаушского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3. </w:t>
      </w:r>
      <w:r w:rsidR="00EE6C04" w:rsidRPr="00A84FC6">
        <w:rPr>
          <w:rFonts w:ascii="Times New Roman" w:hAnsi="Times New Roman" w:cs="Times New Roman"/>
          <w:sz w:val="24"/>
          <w:szCs w:val="24"/>
        </w:rPr>
        <w:t>Подготовка приватизации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3.1. Инициатива проведения приватизации муниципального имущества может исходить от Собрания депутатов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 xml:space="preserve">, муниципальных унитарных предприятий </w:t>
      </w:r>
      <w:r w:rsidR="00DD7241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 xml:space="preserve">(далее - предприятия), акционерных обществ, обществ с ограниченной ответственностью, акции, доли в уставных </w:t>
      </w:r>
      <w:r w:rsidRPr="00A84FC6">
        <w:rPr>
          <w:rFonts w:ascii="Times New Roman" w:hAnsi="Times New Roman" w:cs="Times New Roman"/>
          <w:sz w:val="24"/>
          <w:szCs w:val="24"/>
        </w:rPr>
        <w:lastRenderedPageBreak/>
        <w:t xml:space="preserve">капиталах которых находятся в муниципальной собственности </w:t>
      </w:r>
      <w:r w:rsidR="00DD7241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(далее - муниципальная собственность), а также иных юридических лиц и граждан.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3.2. Предложения о приватизации муниципального имущества представляются в администрацию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145ED5" w:rsidRPr="00A84FC6">
        <w:rPr>
          <w:rFonts w:ascii="Times New Roman" w:hAnsi="Times New Roman" w:cs="Times New Roman"/>
          <w:sz w:val="24"/>
          <w:szCs w:val="24"/>
        </w:rPr>
        <w:t>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3.3. На основании предложений о приватизации муниципального имущества </w:t>
      </w:r>
      <w:r w:rsidR="00145ED5" w:rsidRPr="00A84FC6">
        <w:rPr>
          <w:rFonts w:ascii="Times New Roman" w:hAnsi="Times New Roman" w:cs="Times New Roman"/>
          <w:sz w:val="24"/>
          <w:szCs w:val="24"/>
        </w:rPr>
        <w:t>администрация 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145ED5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осуществляет разработку проекта прогнозного плана (программы) приватизации муниципального имущества на плановый период.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3.4. Прогнозный план (программа) приватизации муниципального имущества содержит перечень муниципальных унитарных предприятий, а также находящихся в муниципальной собственности акций акционерных обществ, долей в уставных капиталах обществ с ограниченной ответственностью, и объекты недвижимого имущества, которые планируется приватизировать в соответствующем периоде.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В прогнозном плане (программе) приватизации муниципального имущества указываются характеристика муниципального имущества (местонахождение, основные виды деятельности, размер уставного капитала, общая площадь), которое планируется приватизировать, и предполагаемые сроки приватизации.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3.5. Согласованный в установленном порядке проект прогнозного плана (программы) приватизации муниципального имущества выносится на утверждение Собрания депутатов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145ED5" w:rsidRPr="00A84FC6">
        <w:rPr>
          <w:rFonts w:ascii="Times New Roman" w:hAnsi="Times New Roman" w:cs="Times New Roman"/>
          <w:sz w:val="24"/>
          <w:szCs w:val="24"/>
        </w:rPr>
        <w:t>гаушского сельского поселения</w:t>
      </w:r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3.6. Ежегодно не позднее 1 мая </w:t>
      </w:r>
      <w:r w:rsidR="00145ED5" w:rsidRPr="00A84FC6">
        <w:rPr>
          <w:rFonts w:ascii="Times New Roman" w:hAnsi="Times New Roman" w:cs="Times New Roman"/>
          <w:sz w:val="24"/>
          <w:szCs w:val="24"/>
        </w:rPr>
        <w:t>администрация 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145ED5" w:rsidRPr="00A84FC6">
        <w:rPr>
          <w:rFonts w:ascii="Times New Roman" w:hAnsi="Times New Roman" w:cs="Times New Roman"/>
          <w:sz w:val="24"/>
          <w:szCs w:val="24"/>
        </w:rPr>
        <w:t>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 xml:space="preserve"> направляет на Собрание депутатов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145ED5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отчет о результатах приватизации муниципального имущества за прошедший год.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4. Управление находящимися в муниципальной собственности</w:t>
      </w:r>
    </w:p>
    <w:p w:rsidR="00643BD1" w:rsidRPr="00A84FC6" w:rsidRDefault="00643BD1" w:rsidP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акциями акционерных обществ, созданных в процессе</w:t>
      </w:r>
      <w:r w:rsidR="00C24A8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приватизации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4.1. При преобразовании в акционерные общества предприятий, находящихся в муниципальной собственности, либо при принятии решений о продаже находящихся в муниципальной собственности пакетов акций указанных обществ в целях обеспечения экономических интересов района Собранием депутатов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145ED5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могут быть приняты решения о нахождении в муниципальной собственности обыкновенных акций в размерах 100 процентов, 50 процентов плюс одна обыкновенная акция либо 25 процентов плюс одна обыкновенная акция от общего числа обыкновенных акций.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4.2. Находящиеся в муниципальной собственности акции до принятия решения об их продаже могут передаваться Собранием депутатов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145ED5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в доверительное управление в соответствии с действующим законодательством.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5. Организация и проведение приватизации</w:t>
      </w:r>
    </w:p>
    <w:p w:rsidR="00643BD1" w:rsidRPr="00A84FC6" w:rsidRDefault="00643BD1" w:rsidP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DD724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5.1. В процессе приватизации муниципального имущества осуществляются мероприятия по организации и проведению приватизации муниципального имущества, в том числе мероприятия по предпродажной подготовке, финансирование которых производится за счет средств бюджета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145ED5" w:rsidRPr="00A84FC6">
        <w:rPr>
          <w:rFonts w:ascii="Times New Roman" w:hAnsi="Times New Roman" w:cs="Times New Roman"/>
          <w:sz w:val="24"/>
          <w:szCs w:val="24"/>
        </w:rPr>
        <w:t>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="00D33083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DD7241" w:rsidRPr="00A84FC6" w:rsidRDefault="00DD724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5.2. Администрация </w:t>
      </w:r>
      <w:r w:rsidR="00D853CC" w:rsidRPr="00A84FC6">
        <w:rPr>
          <w:rFonts w:ascii="Times New Roman" w:hAnsi="Times New Roman" w:cs="Times New Roman"/>
          <w:sz w:val="24"/>
          <w:szCs w:val="24"/>
        </w:rPr>
        <w:t>Мо</w:t>
      </w:r>
      <w:r w:rsidR="00D853CC">
        <w:rPr>
          <w:rFonts w:ascii="Times New Roman" w:hAnsi="Times New Roman" w:cs="Times New Roman"/>
          <w:sz w:val="24"/>
          <w:szCs w:val="24"/>
        </w:rPr>
        <w:t>р</w:t>
      </w:r>
      <w:r w:rsidR="00D853CC" w:rsidRPr="00A84FC6">
        <w:rPr>
          <w:rFonts w:ascii="Times New Roman" w:hAnsi="Times New Roman" w:cs="Times New Roman"/>
          <w:sz w:val="24"/>
          <w:szCs w:val="24"/>
        </w:rPr>
        <w:t>гаушского сельского поселения</w:t>
      </w:r>
      <w:r w:rsidR="00D853CC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осуществляет следующие мероприятия по организации и проведению приватизации:</w:t>
      </w:r>
    </w:p>
    <w:p w:rsidR="00DD7241" w:rsidRPr="00A84FC6" w:rsidRDefault="00DD7241" w:rsidP="00C2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подготовка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DD7241" w:rsidRPr="00A84FC6" w:rsidRDefault="00DD7241" w:rsidP="00C2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информационное обеспечение приватизации муниципального имущества;</w:t>
      </w:r>
    </w:p>
    <w:p w:rsidR="00DD7241" w:rsidRPr="00A84FC6" w:rsidRDefault="00DD7241" w:rsidP="00C2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осуществление деятельности по учету и контролю выполнения покупателями имущества своих обязательств;</w:t>
      </w:r>
    </w:p>
    <w:p w:rsidR="00DD7241" w:rsidRPr="00A84FC6" w:rsidRDefault="00DD7241" w:rsidP="00C2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создание и обслуживание информационно-коммуникационных систем, совершенствование материально-технической базы продаж имущества;</w:t>
      </w:r>
    </w:p>
    <w:p w:rsidR="00DD7241" w:rsidRPr="00A84FC6" w:rsidRDefault="00DD7241" w:rsidP="00C2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организация продажи имущества, включая привлечение с этой целью профессиональных участников рынка ценных бумаг и иных лиц;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5.</w:t>
      </w:r>
      <w:r w:rsidR="00DD7241" w:rsidRPr="00A84FC6">
        <w:rPr>
          <w:rFonts w:ascii="Times New Roman" w:hAnsi="Times New Roman" w:cs="Times New Roman"/>
          <w:sz w:val="24"/>
          <w:szCs w:val="24"/>
        </w:rPr>
        <w:t>3</w:t>
      </w:r>
      <w:r w:rsidRPr="00A84FC6">
        <w:rPr>
          <w:rFonts w:ascii="Times New Roman" w:hAnsi="Times New Roman" w:cs="Times New Roman"/>
          <w:sz w:val="24"/>
          <w:szCs w:val="24"/>
        </w:rPr>
        <w:t>. Предпродажная подготовка включает в себя следующие мероприятия: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оценку имущества для определения рыночной стоимости с привлечением независимого оценщика;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установление начальной цены имущества;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проведение юридической экспертизы материалов (документов) по приватизации;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осуществление реорганизации предприятия;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изготовление технических паспортов;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оплата услуг держателей реестров владельцев ценных бумаг (регистраторов) по внесению данных в реестр и выдаче выписок из реестра, оплата услуг депозитариев, прочие расходы, связанные с оформлением прав на муниципальное имущество, а также с осуществлением </w:t>
      </w:r>
      <w:r w:rsidR="00145ED5" w:rsidRPr="00A84FC6">
        <w:rPr>
          <w:rFonts w:ascii="Times New Roman" w:hAnsi="Times New Roman" w:cs="Times New Roman"/>
          <w:sz w:val="24"/>
          <w:szCs w:val="24"/>
        </w:rPr>
        <w:t xml:space="preserve">администрацией Могаушского сельского поселения </w:t>
      </w:r>
      <w:r w:rsidRPr="00A84FC6">
        <w:rPr>
          <w:rFonts w:ascii="Times New Roman" w:hAnsi="Times New Roman" w:cs="Times New Roman"/>
          <w:sz w:val="24"/>
          <w:szCs w:val="24"/>
        </w:rPr>
        <w:t>прав акционера, предоставление зарегистрированным в реестре владельцам и номинальным держателям ценных бумаг, владеющим более чем одним процентом голосующих акций эмитента, данных из реестра об именах владельцев (полном наименовании), количестве, категории (типе) и номинальной стоимости принадлежащих им ценных бумаг;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оформление документов на земельные участки, занятые под объектами приватизации;</w:t>
      </w:r>
    </w:p>
    <w:p w:rsidR="00DD724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выдача выписок из реестра муниципального имущества </w:t>
      </w:r>
      <w:r w:rsidR="00E57A7D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DD7241" w:rsidRPr="00A84FC6" w:rsidRDefault="00DD724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5.4. Мероприятия по организации и проведению приватизации, в том числе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6. Способы приватизации и порядок их выбора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6.1. Приватизация муниципального имущества осуществляется в соответствии с федеральным законодательством, способами, установленными Федеральным </w:t>
      </w:r>
      <w:hyperlink r:id="rId12" w:history="1">
        <w:r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6.2.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социально-экономическое значение объекта для территории;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lastRenderedPageBreak/>
        <w:t>необходимость привлечения инвестиций;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обеспечение поступления средств в доходную часть бюджета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Могаушского сельского поселения</w:t>
      </w:r>
      <w:r w:rsidRPr="00A84FC6">
        <w:rPr>
          <w:rFonts w:ascii="Times New Roman" w:hAnsi="Times New Roman" w:cs="Times New Roman"/>
          <w:sz w:val="24"/>
          <w:szCs w:val="24"/>
        </w:rPr>
        <w:t>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экологическое состояние территории, на которой расположен объект приватизации;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финансовое состояние объекта приватизации;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отраслевые особенности объекта приватизации;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установление обременения;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предложения, содержащиеся в заявке на приватизацию объекта;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мнение администраций сельских поселений, на территории которых находится данный объект.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6.3. Продажа муниципального имущества без объявления цены и посредством публичного предложения осуществляется в порядке, установленном нормативными правовыми актами Российской Федерации для муниципального имущества.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7. Определение цены подлежащего приватизации</w:t>
      </w:r>
    </w:p>
    <w:p w:rsidR="00643BD1" w:rsidRPr="00A84FC6" w:rsidRDefault="00643BD1" w:rsidP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7.1. Начальная цена подлежащего приватизации муниципального имущества устанавливается в случаях предусмотренных Федеральным </w:t>
      </w:r>
      <w:hyperlink r:id="rId13" w:history="1">
        <w:r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4FC6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Федерации, регулирующих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имущества прошло не более чем шесть месяцев.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7.2. Начальная цена объектов недвижимости, приватизируемых с земельными участками, принимается равной сумме их рыночной стоимости, определенной в соответствии с законодательством Российской Федерации, регулирующим оценочную деятельность.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7.3. Договор купли-продажи объектов недвижимости, приватизируемых с земельными участками, заключается с победителем торгов по цене, определенной по итогам торгов, с указанием стоимости объектов недвижимости и земельных участков в размерах, пропорциональных их рыночной стоимости.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8. Решение об условиях приватизации</w:t>
      </w:r>
    </w:p>
    <w:p w:rsidR="00643BD1" w:rsidRPr="00A84FC6" w:rsidRDefault="00643BD1" w:rsidP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8.1.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8.2. В решении об условиях приватизации муниципального имущества должны содержаться следующие сведения: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способ приватизации имущества;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начальная цена имущества, если иное не предусмотрено решением Правительства Российской Федерации, принятым в соответствии с абзацем шестнадцатым </w:t>
      </w:r>
      <w:hyperlink r:id="rId14" w:history="1">
        <w:r w:rsidRPr="00A84FC6">
          <w:rPr>
            <w:rFonts w:ascii="Times New Roman" w:hAnsi="Times New Roman" w:cs="Times New Roman"/>
            <w:sz w:val="24"/>
            <w:szCs w:val="24"/>
          </w:rPr>
          <w:t>пункта 1 статьи 6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2001 г. N 178-ФЗ "О приватизации государственного и муниципального имущества" (с изменениями и дополнениями);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срок рассрочки платежа (в случае ее предоставления);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иные необходимые для приватизации имущества сведения.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15" w:history="1">
        <w:r w:rsidRPr="00A84FC6">
          <w:rPr>
            <w:rFonts w:ascii="Times New Roman" w:hAnsi="Times New Roman" w:cs="Times New Roman"/>
            <w:sz w:val="24"/>
            <w:szCs w:val="24"/>
          </w:rPr>
          <w:t>ст. 11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lastRenderedPageBreak/>
        <w:t>перечень объектов (в том числе исключительно прав) не подлежащих приватизации в составе имущественного комплекса унитарного предприятия;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количество, категории и номинальная стоимость акций акционерного общество или номинальная стоимость доли участника общества с ограниченной ответственностью Российской Федерации, субъекта Российской Федерации или муниципального образования.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8.3. Решение об условиях приватизации муниципального имущества принимает администрация </w:t>
      </w:r>
      <w:r w:rsidR="00145ED5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145ED5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в соответствии с прогнозным планом (программой) приватизации муниципального имущества.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8.4. Признание продажи несостоявшейся, расторжение договора купли-продажи влечет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8.5. Изменение либо отмена решений об условиях приватизации муниципального имущества производится органом, принявшим решение об условиях приватизации муниципального имущества в месячный срок со дня признания продажи муниципального имущества несостоявшейся.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8.1. Особенности участия субъектов малого и среднего</w:t>
      </w:r>
    </w:p>
    <w:p w:rsidR="00643BD1" w:rsidRPr="00A84FC6" w:rsidRDefault="00643BD1" w:rsidP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предпринимательства в приватизации арендуемого имущества</w:t>
      </w:r>
    </w:p>
    <w:p w:rsidR="00643BD1" w:rsidRPr="00A84FC6" w:rsidRDefault="00643BD1" w:rsidP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и принятия решения об условиях приватизации</w:t>
      </w:r>
    </w:p>
    <w:p w:rsidR="00643BD1" w:rsidRPr="00A84FC6" w:rsidRDefault="00643BD1" w:rsidP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указанного имущества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4"/>
      <w:bookmarkEnd w:id="1"/>
      <w:r w:rsidRPr="00A84FC6">
        <w:rPr>
          <w:rFonts w:ascii="Times New Roman" w:hAnsi="Times New Roman" w:cs="Times New Roman"/>
          <w:sz w:val="24"/>
          <w:szCs w:val="24"/>
        </w:rPr>
        <w:t xml:space="preserve">8.1.1. </w:t>
      </w:r>
      <w:r w:rsidR="00EB2E20" w:rsidRPr="00A84FC6">
        <w:rPr>
          <w:rFonts w:ascii="Times New Roman" w:hAnsi="Times New Roman" w:cs="Times New Roman"/>
          <w:sz w:val="24"/>
          <w:szCs w:val="24"/>
        </w:rPr>
        <w:t>Администрация 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EB2E20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 xml:space="preserve">предусматривает в решениях об условиях приватизации арендуемого имущества преимущественное право арендаторов на приобретение арендуемого имущества с соблюдением условий, установленных </w:t>
      </w:r>
      <w:hyperlink r:id="rId16" w:history="1">
        <w:r w:rsidRPr="00A84FC6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закон).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8.1.2. В течение 10 дней с даты принятия решения об условиях приватизации арендуемого имущества в порядке, установленном Федеральным </w:t>
      </w:r>
      <w:hyperlink r:id="rId17" w:history="1">
        <w:r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</w:t>
      </w:r>
      <w:r w:rsidR="00E57A7D" w:rsidRPr="00A84FC6">
        <w:rPr>
          <w:rFonts w:ascii="Times New Roman" w:hAnsi="Times New Roman" w:cs="Times New Roman"/>
          <w:sz w:val="24"/>
          <w:szCs w:val="24"/>
        </w:rPr>
        <w:t>администрация</w:t>
      </w:r>
      <w:r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="00EB2E20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EB2E20" w:rsidRPr="00A84FC6">
        <w:rPr>
          <w:rFonts w:ascii="Times New Roman" w:hAnsi="Times New Roman" w:cs="Times New Roman"/>
          <w:sz w:val="24"/>
          <w:szCs w:val="24"/>
        </w:rPr>
        <w:t>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EB2E20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 xml:space="preserve">направляет арендаторам, указанным в </w:t>
      </w:r>
      <w:hyperlink w:anchor="P134" w:history="1">
        <w:r w:rsidRPr="00A84FC6">
          <w:rPr>
            <w:rFonts w:ascii="Times New Roman" w:hAnsi="Times New Roman" w:cs="Times New Roman"/>
            <w:sz w:val="24"/>
            <w:szCs w:val="24"/>
          </w:rPr>
          <w:t>пункте 8.1.1</w:t>
        </w:r>
      </w:hyperlink>
      <w:r w:rsidRPr="00A84FC6">
        <w:rPr>
          <w:rFonts w:ascii="Times New Roman" w:hAnsi="Times New Roman" w:cs="Times New Roman"/>
          <w:sz w:val="24"/>
          <w:szCs w:val="24"/>
        </w:rPr>
        <w:t>,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ее) размера.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заключении и (или) проекта договора купли-продажи арендуемого имущества.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8.1.3. В 30-дневный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r:id="rId18" w:history="1">
        <w:r w:rsidRPr="00A84FC6">
          <w:rPr>
            <w:rFonts w:ascii="Times New Roman" w:hAnsi="Times New Roman" w:cs="Times New Roman"/>
            <w:sz w:val="24"/>
            <w:szCs w:val="24"/>
          </w:rPr>
          <w:t>частью 9 статьи 4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закона, </w:t>
      </w:r>
      <w:r w:rsidR="00EB2E20" w:rsidRPr="00A84FC6">
        <w:rPr>
          <w:rFonts w:ascii="Times New Roman" w:hAnsi="Times New Roman" w:cs="Times New Roman"/>
          <w:sz w:val="24"/>
          <w:szCs w:val="24"/>
        </w:rPr>
        <w:t>администрация 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EB2E20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 xml:space="preserve">в </w:t>
      </w:r>
      <w:r w:rsidRPr="00A84FC6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законодательством Российской Федерации о приватизации, принимает одно из следующих решений: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остановленных Федеральным </w:t>
      </w:r>
      <w:hyperlink r:id="rId19" w:history="1">
        <w:r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2) об отмене принятого решения об условиях приватизации арендуемого имущества.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8.1.4.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соответствии с </w:t>
      </w:r>
      <w:r w:rsidR="0086055D" w:rsidRPr="00A84FC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0" w:history="1">
        <w:r w:rsidR="0086055D"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8.1.5.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8.1.6.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8.1.7. В случае,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8.1.8. Порядок реализации преимущественного права арендаторов на приобретение арендуемого имущества, а также последствия несоблюдения требований к порядку совершения сделок по возмездному отчуждению муниципального имущества регулируются Федеральным </w:t>
      </w:r>
      <w:hyperlink r:id="rId21" w:history="1">
        <w:r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A8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9. </w:t>
      </w:r>
      <w:r w:rsidR="00EE6C04" w:rsidRPr="00A84FC6">
        <w:rPr>
          <w:rFonts w:ascii="Times New Roman" w:hAnsi="Times New Roman" w:cs="Times New Roman"/>
          <w:sz w:val="24"/>
          <w:szCs w:val="24"/>
        </w:rPr>
        <w:t xml:space="preserve">Порядок и сроки перечисления денежных средств в счет оплаты </w:t>
      </w:r>
    </w:p>
    <w:p w:rsidR="00643BD1" w:rsidRPr="00A84FC6" w:rsidRDefault="00EE6C04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приватизируемого муниципального имущества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9.1. Оплата приобретаемого покупателем муниципального имущества производится в денежной форме единовременно или в рассрочку в порядке, установленном законодательством Российской Федерации о приватизации.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9.2. При продаже муниципального имущества способами, определенными Федеральным </w:t>
      </w:r>
      <w:hyperlink r:id="rId22" w:history="1">
        <w:r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денежные средства в счет оплаты приватизируемого имущества подлежат перечислению победителем торгов в бюджет </w:t>
      </w:r>
      <w:r w:rsidR="00EB2E20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EB2E20" w:rsidRPr="00A84FC6">
        <w:rPr>
          <w:rFonts w:ascii="Times New Roman" w:hAnsi="Times New Roman" w:cs="Times New Roman"/>
          <w:sz w:val="24"/>
          <w:szCs w:val="24"/>
        </w:rPr>
        <w:t>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EB2E20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на счет, указанный в информационном сообщении о проведении торгов, в размере и сроки, указанные в договоре купли-продажи, но не позднее 15 рабочих дней со дня заключения договора купли-продажи, за исключением случаев оплаты приобретаемого имущества в рассрочку.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При продаже муниципального имущества на аукционе, конкурсе, посредством публичного предложения задаток победителя торгов (победителя продажи посредством публичного предложения) подлежит перечислению в бюджет </w:t>
      </w:r>
      <w:r w:rsidR="00EB2E20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EB2E20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в счет оплаты приобретаемого муниципального имущества в течение 5 рабочих дней с даты, установленной для заключения договора купли-продажи муниципального имущества.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9.3. Решение о предоставлении рассрочки на внесение платежей при оплате приобретаемого покупателями муниципального имущества, при продаже его без объявления цены принимает орган, принявший решение об условиях приватизации.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В случае предоставления рассрочки оплаты приобретаемого муниципального </w:t>
      </w:r>
      <w:r w:rsidRPr="00A84FC6">
        <w:rPr>
          <w:rFonts w:ascii="Times New Roman" w:hAnsi="Times New Roman" w:cs="Times New Roman"/>
          <w:sz w:val="24"/>
          <w:szCs w:val="24"/>
        </w:rPr>
        <w:lastRenderedPageBreak/>
        <w:t>имущества покупателями осуществляется в порядке и сроки, определенные в решении об условиях приватизации муниципального имущества.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9.4. Средства от продажи муниципального имущества подлежат перечислению в бюджет </w:t>
      </w:r>
      <w:r w:rsidR="00EB2E20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EB2E20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33083" w:rsidRPr="00A84FC6">
        <w:rPr>
          <w:rFonts w:ascii="Times New Roman" w:hAnsi="Times New Roman" w:cs="Times New Roman"/>
          <w:sz w:val="24"/>
          <w:szCs w:val="24"/>
        </w:rPr>
        <w:t xml:space="preserve"> </w:t>
      </w:r>
      <w:r w:rsidRPr="00A84FC6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10. Информационное обеспечение процесса приватизации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10.1.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прогнозного плана (программы) приватизации муниципального имущества, актов планирования приватизации имущества, находящегося в муниципальной собственности </w:t>
      </w:r>
      <w:r w:rsidR="00EB2E20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EB2E20" w:rsidRPr="00A84FC6">
        <w:rPr>
          <w:rFonts w:ascii="Times New Roman" w:hAnsi="Times New Roman" w:cs="Times New Roman"/>
          <w:sz w:val="24"/>
          <w:szCs w:val="24"/>
        </w:rPr>
        <w:t xml:space="preserve">гаушского сельского </w:t>
      </w:r>
      <w:r w:rsidR="00D3308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 xml:space="preserve">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имущества, отчетов о результатах приватизации имущества, муниципальной собственности </w:t>
      </w:r>
      <w:r w:rsidR="00EB2E20" w:rsidRPr="00A84FC6">
        <w:rPr>
          <w:rFonts w:ascii="Times New Roman" w:hAnsi="Times New Roman" w:cs="Times New Roman"/>
          <w:sz w:val="24"/>
          <w:szCs w:val="24"/>
        </w:rPr>
        <w:t>Мо</w:t>
      </w:r>
      <w:r w:rsidR="00D33083">
        <w:rPr>
          <w:rFonts w:ascii="Times New Roman" w:hAnsi="Times New Roman" w:cs="Times New Roman"/>
          <w:sz w:val="24"/>
          <w:szCs w:val="24"/>
        </w:rPr>
        <w:t>р</w:t>
      </w:r>
      <w:r w:rsidR="00EB2E20" w:rsidRPr="00A84FC6">
        <w:rPr>
          <w:rFonts w:ascii="Times New Roman" w:hAnsi="Times New Roman" w:cs="Times New Roman"/>
          <w:sz w:val="24"/>
          <w:szCs w:val="24"/>
        </w:rPr>
        <w:t>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на сайтах в сети "Интернет".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10.2.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"Интернет".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продаже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</w:t>
      </w:r>
      <w:r w:rsidR="0086055D" w:rsidRPr="00A84FC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3" w:history="1">
        <w:r w:rsidR="0086055D"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6055D" w:rsidRPr="00A84FC6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</w:t>
      </w:r>
      <w:r w:rsidRPr="00A84FC6">
        <w:rPr>
          <w:rFonts w:ascii="Times New Roman" w:hAnsi="Times New Roman" w:cs="Times New Roman"/>
          <w:sz w:val="24"/>
          <w:szCs w:val="24"/>
        </w:rPr>
        <w:t>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10.3. Информационное сообщение о продаже муниципального имущества должно содержать, за исключением случаев, предусмотренных Федеральным </w:t>
      </w:r>
      <w:hyperlink r:id="rId24" w:history="1">
        <w:r w:rsidRPr="00A84F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следующие сведения: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3) способ приватизации такого имущества;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4) начальная цена продажи такого имущества;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5) форма подачи предложений о цене такого имущества;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10) срок заключения договора купли-продажи такого имущества;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lastRenderedPageBreak/>
        <w:t>12) ограничения участия отдельных категорий физических лиц и юридических лиц в приватизации такого имущества;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14) место и срок подведения итогов продажи муниципального имущества;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15) сведения о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6B6BA6" w:rsidRPr="00A84FC6" w:rsidRDefault="006B6BA6" w:rsidP="00C2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16) размер и порядок выплаты вознаграждения юридическому лицу, которое в соответствии с </w:t>
      </w:r>
      <w:hyperlink r:id="rId25" w:history="1">
        <w:r w:rsidRPr="00A84FC6">
          <w:rPr>
            <w:rFonts w:ascii="Times New Roman" w:hAnsi="Times New Roman" w:cs="Times New Roman"/>
            <w:sz w:val="24"/>
            <w:szCs w:val="24"/>
          </w:rPr>
          <w:t>подпунктом 8.1 пункта 1 статьи 6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 о приватизации муниципального имущества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10.4.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 </w:t>
      </w:r>
      <w:r w:rsidR="00E57A7D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Pr="00A84FC6">
        <w:rPr>
          <w:rFonts w:ascii="Times New Roman" w:hAnsi="Times New Roman" w:cs="Times New Roman"/>
          <w:sz w:val="24"/>
          <w:szCs w:val="24"/>
        </w:rPr>
        <w:t>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26" w:history="1">
        <w:r w:rsidRPr="00A84FC6">
          <w:rPr>
            <w:rFonts w:ascii="Times New Roman" w:hAnsi="Times New Roman" w:cs="Times New Roman"/>
            <w:sz w:val="24"/>
            <w:szCs w:val="24"/>
          </w:rPr>
          <w:t>статьей 10.1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2001 г. N 178 "О приватизации государственного и муниципального имущества";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8) численность работников хозяйственного общества;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10.6. По решению администрации </w:t>
      </w:r>
      <w:r w:rsidR="00E57A7D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84FC6">
        <w:rPr>
          <w:rFonts w:ascii="Times New Roman" w:hAnsi="Times New Roman" w:cs="Times New Roman"/>
          <w:sz w:val="24"/>
          <w:szCs w:val="24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10.7.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В местах подачи заявок и на сайте продавца муниципального имущества </w:t>
      </w:r>
      <w:r w:rsidRPr="00A84FC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E57A7D" w:rsidRPr="00A84FC6">
        <w:rPr>
          <w:rFonts w:ascii="Times New Roman" w:hAnsi="Times New Roman" w:cs="Times New Roman"/>
          <w:sz w:val="24"/>
          <w:szCs w:val="24"/>
        </w:rPr>
        <w:t>Моргаушского сельского поселения</w:t>
      </w:r>
      <w:r w:rsidR="00D33083">
        <w:rPr>
          <w:rFonts w:ascii="Times New Roman" w:hAnsi="Times New Roman" w:cs="Times New Roman"/>
          <w:sz w:val="24"/>
          <w:szCs w:val="24"/>
        </w:rPr>
        <w:t xml:space="preserve"> </w:t>
      </w:r>
      <w:r w:rsidR="00D33083" w:rsidRPr="00A84FC6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D33083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A84FC6">
        <w:rPr>
          <w:rFonts w:ascii="Times New Roman" w:hAnsi="Times New Roman" w:cs="Times New Roman"/>
          <w:sz w:val="24"/>
          <w:szCs w:val="24"/>
        </w:rPr>
        <w:t>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4"/>
      <w:bookmarkEnd w:id="2"/>
      <w:r w:rsidRPr="00A84FC6">
        <w:rPr>
          <w:rFonts w:ascii="Times New Roman" w:hAnsi="Times New Roman" w:cs="Times New Roman"/>
          <w:sz w:val="24"/>
          <w:szCs w:val="24"/>
        </w:rPr>
        <w:t>10.8.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10.9. К информации о результатах сделок приватизации муниципального имущества, подлежащий размещению в порядке, установленном </w:t>
      </w:r>
      <w:hyperlink w:anchor="P194" w:history="1">
        <w:r w:rsidRPr="00A84FC6">
          <w:rPr>
            <w:rFonts w:ascii="Times New Roman" w:hAnsi="Times New Roman" w:cs="Times New Roman"/>
            <w:sz w:val="24"/>
            <w:szCs w:val="24"/>
          </w:rPr>
          <w:t>пунктом 10.8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настоящего Порядка, относятся следующие сведения: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4) цена сделки приватизации;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5) имя физического лица или наименование юридического лица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продажи;</w:t>
      </w:r>
    </w:p>
    <w:p w:rsidR="00643BD1" w:rsidRPr="00A84FC6" w:rsidRDefault="00643BD1" w:rsidP="00C24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11. Проведение продажи муниципального имущества</w:t>
      </w:r>
    </w:p>
    <w:p w:rsidR="00643BD1" w:rsidRPr="00A84FC6" w:rsidRDefault="00643BD1" w:rsidP="00C24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11.1. Продажа муниципального имущества способами, установленными </w:t>
      </w:r>
      <w:hyperlink r:id="rId27" w:history="1">
        <w:r w:rsidRPr="00A84FC6">
          <w:rPr>
            <w:rFonts w:ascii="Times New Roman" w:hAnsi="Times New Roman" w:cs="Times New Roman"/>
            <w:sz w:val="24"/>
            <w:szCs w:val="24"/>
          </w:rPr>
          <w:t>статьями 18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history="1">
        <w:r w:rsidRPr="00A84FC6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A84FC6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A84FC6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имущества", осуществляется в электронной форме. Положения указанных статей в части проведения продажи муниципального имущества применяется с учетом особенностей, установленных </w:t>
      </w:r>
      <w:hyperlink r:id="rId31" w:history="1">
        <w:r w:rsidRPr="00A84FC6">
          <w:rPr>
            <w:rFonts w:ascii="Times New Roman" w:hAnsi="Times New Roman" w:cs="Times New Roman"/>
            <w:sz w:val="24"/>
            <w:szCs w:val="24"/>
          </w:rPr>
          <w:t>статьей 32.1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11.2.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11.3. Размещение информационного сообщения о проведении продажи в электронной форме осуществляется в порядке, установленном </w:t>
      </w:r>
      <w:hyperlink r:id="rId32" w:history="1">
        <w:r w:rsidRPr="00A84FC6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 xml:space="preserve">В информационном сообщении о проведении продажи в электронной форме, размещаемом на сайте в сети "Интернет", наряду со сведениями, предусмотренными </w:t>
      </w:r>
      <w:hyperlink r:id="rId33" w:history="1">
        <w:r w:rsidRPr="00A84FC6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A84FC6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11.4.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643BD1" w:rsidRPr="00A84FC6" w:rsidRDefault="00643BD1" w:rsidP="00C24A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C6">
        <w:rPr>
          <w:rFonts w:ascii="Times New Roman" w:hAnsi="Times New Roman" w:cs="Times New Roman"/>
          <w:sz w:val="24"/>
          <w:szCs w:val="24"/>
        </w:rPr>
        <w:t>11.5. Порядок организации и проведения продажи в электронной форме устанавливается Правительством Российской Федерации, в соответствии с федеральным законодательством.</w:t>
      </w: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D1" w:rsidRPr="00A84FC6" w:rsidRDefault="00643BD1" w:rsidP="00C24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038" w:rsidRPr="00A84FC6" w:rsidRDefault="00810038" w:rsidP="00C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0038" w:rsidRPr="00A84FC6" w:rsidSect="00C24A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0B" w:rsidRDefault="00350F0B" w:rsidP="002938F2">
      <w:pPr>
        <w:spacing w:after="0" w:line="240" w:lineRule="auto"/>
      </w:pPr>
      <w:r>
        <w:separator/>
      </w:r>
    </w:p>
  </w:endnote>
  <w:endnote w:type="continuationSeparator" w:id="1">
    <w:p w:rsidR="00350F0B" w:rsidRDefault="00350F0B" w:rsidP="0029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0B" w:rsidRDefault="00350F0B" w:rsidP="002938F2">
      <w:pPr>
        <w:spacing w:after="0" w:line="240" w:lineRule="auto"/>
      </w:pPr>
      <w:r>
        <w:separator/>
      </w:r>
    </w:p>
  </w:footnote>
  <w:footnote w:type="continuationSeparator" w:id="1">
    <w:p w:rsidR="00350F0B" w:rsidRDefault="00350F0B" w:rsidP="00293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BD1"/>
    <w:rsid w:val="00066675"/>
    <w:rsid w:val="00145ED5"/>
    <w:rsid w:val="0022133A"/>
    <w:rsid w:val="002938F2"/>
    <w:rsid w:val="00305E98"/>
    <w:rsid w:val="00332ABD"/>
    <w:rsid w:val="00350F0B"/>
    <w:rsid w:val="00394334"/>
    <w:rsid w:val="00592A56"/>
    <w:rsid w:val="00606EF9"/>
    <w:rsid w:val="00643BD1"/>
    <w:rsid w:val="006B6BA6"/>
    <w:rsid w:val="006C0F3E"/>
    <w:rsid w:val="00715879"/>
    <w:rsid w:val="00743680"/>
    <w:rsid w:val="00775261"/>
    <w:rsid w:val="007B3D05"/>
    <w:rsid w:val="00810038"/>
    <w:rsid w:val="0086055D"/>
    <w:rsid w:val="00A32E39"/>
    <w:rsid w:val="00A603CF"/>
    <w:rsid w:val="00A84FC6"/>
    <w:rsid w:val="00B9365D"/>
    <w:rsid w:val="00C24A86"/>
    <w:rsid w:val="00C714BE"/>
    <w:rsid w:val="00C73ED3"/>
    <w:rsid w:val="00D33083"/>
    <w:rsid w:val="00D853CC"/>
    <w:rsid w:val="00DD7241"/>
    <w:rsid w:val="00E57A7D"/>
    <w:rsid w:val="00EB2E20"/>
    <w:rsid w:val="00EE4811"/>
    <w:rsid w:val="00EE6C04"/>
    <w:rsid w:val="00F2642B"/>
    <w:rsid w:val="00FC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38"/>
  </w:style>
  <w:style w:type="paragraph" w:styleId="2">
    <w:name w:val="heading 2"/>
    <w:basedOn w:val="a"/>
    <w:next w:val="a"/>
    <w:link w:val="20"/>
    <w:qFormat/>
    <w:rsid w:val="0064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3B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3B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3B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643B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29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38F2"/>
  </w:style>
  <w:style w:type="paragraph" w:styleId="a6">
    <w:name w:val="footer"/>
    <w:basedOn w:val="a"/>
    <w:link w:val="a7"/>
    <w:uiPriority w:val="99"/>
    <w:semiHidden/>
    <w:unhideWhenUsed/>
    <w:rsid w:val="0029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3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E05253ABA8B9352A7F6337E7AFE03ACFA7BEE1DEADB2A024943B5F9CF693D313AD0BD8DF02226F197940D2157902B24BB250798D1FC22DAu3L" TargetMode="External"/><Relationship Id="rId13" Type="http://schemas.openxmlformats.org/officeDocument/2006/relationships/hyperlink" Target="consultantplus://offline/ref=B2CE05253ABA8B9352A7F6337E7AFE03ACFA7BEE1DEADB2A024943B5F9CF693D313AD0BF8BFB7674B3C9CD5D661C9D2239A7250ED8uFL" TargetMode="External"/><Relationship Id="rId18" Type="http://schemas.openxmlformats.org/officeDocument/2006/relationships/hyperlink" Target="consultantplus://offline/ref=B2CE05253ABA8B9352A7F6337E7AFE03ACF87BED1AE3DB2A024943B5F9CF693D313AD0BD8DF02226F297940D2157902B24BB250798D1FC22DAu3L" TargetMode="External"/><Relationship Id="rId26" Type="http://schemas.openxmlformats.org/officeDocument/2006/relationships/hyperlink" Target="consultantplus://offline/ref=B2CE05253ABA8B9352A7F6337E7AFE03ACFA7BEE1DEADB2A024943B5F9CF693D313AD0BF8BF22971A6D895516401832A2FBB270F87DDu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CE05253ABA8B9352A7F6337E7AFE03ACF87BED1AE3DB2A024943B5F9CF693D233A88B18CF33C25FF82C25C64D0uB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2CE05253ABA8B9352A7F6337E7AFE03ACFA7BEE1DEADB2A024943B5F9CF693D313AD0BD8DF02226F197940D2157902B24BB250798D1FC22DAu3L" TargetMode="External"/><Relationship Id="rId12" Type="http://schemas.openxmlformats.org/officeDocument/2006/relationships/hyperlink" Target="consultantplus://offline/ref=B2CE05253ABA8B9352A7F6337E7AFE03ACFA7BEE1DEADB2A024943B5F9CF693D233A88B18CF33C25FF82C25C64D0uBL" TargetMode="External"/><Relationship Id="rId17" Type="http://schemas.openxmlformats.org/officeDocument/2006/relationships/hyperlink" Target="consultantplus://offline/ref=B2CE05253ABA8B9352A7F6337E7AFE03ACFA7BEE1DEADB2A024943B5F9CF693D233A88B18CF33C25FF82C25C64D0uBL" TargetMode="External"/><Relationship Id="rId25" Type="http://schemas.openxmlformats.org/officeDocument/2006/relationships/hyperlink" Target="consultantplus://offline/ref=41E78CAD354190E21C77A95C4C6A297D57CE8609CA0163A2A425748E82078E83A019150F63F6562C1BCB5C9AA0665FF0DA0251042Ax4r9N" TargetMode="External"/><Relationship Id="rId33" Type="http://schemas.openxmlformats.org/officeDocument/2006/relationships/hyperlink" Target="consultantplus://offline/ref=B2CE05253ABA8B9352A7F6337E7AFE03ACFA7BEE1DEADB2A024943B5F9CF693D313AD0B88DFB7674B3C9CD5D661C9D2239A7250ED8u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CE05253ABA8B9352A7F6337E7AFE03ACF87BED1AE3DB2A024943B5F9CF693D313AD0BD8DF02227F797940D2157902B24BB250798D1FC22DAu3L" TargetMode="External"/><Relationship Id="rId20" Type="http://schemas.openxmlformats.org/officeDocument/2006/relationships/hyperlink" Target="consultantplus://offline/ref=B2CE05253ABA8B9352A7F6337E7AFE03ACFA7BEE1DEADB2A024943B5F9CF693D233A88B18CF33C25FF82C25C64D0uBL" TargetMode="External"/><Relationship Id="rId29" Type="http://schemas.openxmlformats.org/officeDocument/2006/relationships/hyperlink" Target="consultantplus://offline/ref=B2CE05253ABA8B9352A7F6337E7AFE03ACFA7BEE1DEADB2A024943B5F9CF693D313AD0B58DFB7674B3C9CD5D661C9D2239A7250ED8uF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2CE05253ABA8B9352A7F6337E7AFE03ACFA7BEE1DEADB2A024943B5F9CF693D233A88B18CF33C25FF82C25C64D0uBL" TargetMode="External"/><Relationship Id="rId24" Type="http://schemas.openxmlformats.org/officeDocument/2006/relationships/hyperlink" Target="consultantplus://offline/ref=B2CE05253ABA8B9352A7F6337E7AFE03ACFA7BEE1DEADB2A024943B5F9CF693D233A88B18CF33C25FF82C25C64D0uBL" TargetMode="External"/><Relationship Id="rId32" Type="http://schemas.openxmlformats.org/officeDocument/2006/relationships/hyperlink" Target="consultantplus://offline/ref=B2CE05253ABA8B9352A7F6337E7AFE03ACFA7BEE1DEADB2A024943B5F9CF693D313AD0B88DFB7674B3C9CD5D661C9D2239A7250ED8uF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2CE05253ABA8B9352A7F6337E7AFE03ACFA7BEE1DEADB2A024943B5F9CF693D313AD0BD8DF02222FE97940D2157902B24BB250798D1FC22DAu3L" TargetMode="External"/><Relationship Id="rId23" Type="http://schemas.openxmlformats.org/officeDocument/2006/relationships/hyperlink" Target="consultantplus://offline/ref=B2CE05253ABA8B9352A7F6337E7AFE03ACFA7BEE1DEADB2A024943B5F9CF693D233A88B18CF33C25FF82C25C64D0uBL" TargetMode="External"/><Relationship Id="rId28" Type="http://schemas.openxmlformats.org/officeDocument/2006/relationships/hyperlink" Target="consultantplus://offline/ref=B2CE05253ABA8B9352A7F6337E7AFE03ACFA7BEE1DEADB2A024943B5F9CF693D313AD0BE8DF62971A6D895516401832A2FBB270F87DDuAL" TargetMode="External"/><Relationship Id="rId10" Type="http://schemas.openxmlformats.org/officeDocument/2006/relationships/hyperlink" Target="consultantplus://offline/ref=B2CE05253ABA8B9352A7F6337E7AFE03ACFA7BEE1DEADB2A024943B5F9CF693D233A88B18CF33C25FF82C25C64D0uBL" TargetMode="External"/><Relationship Id="rId19" Type="http://schemas.openxmlformats.org/officeDocument/2006/relationships/hyperlink" Target="consultantplus://offline/ref=B2CE05253ABA8B9352A7F6337E7AFE03ACFA7BEE1DEADB2A024943B5F9CF693D233A88B18CF33C25FF82C25C64D0uBL" TargetMode="External"/><Relationship Id="rId31" Type="http://schemas.openxmlformats.org/officeDocument/2006/relationships/hyperlink" Target="consultantplus://offline/ref=B2CE05253ABA8B9352A7F6337E7AFE03ACFA7BEE1DEADB2A024943B5F9CF693D313AD0BD8CF92971A6D895516401832A2FBB270F87DDuA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CE05253ABA8B9352A7F6337E7AFE03ACFA7BEE1DEADB2A024943B5F9CF693D233A88B18CF33C25FF82C25C64D0uBL" TargetMode="External"/><Relationship Id="rId14" Type="http://schemas.openxmlformats.org/officeDocument/2006/relationships/hyperlink" Target="consultantplus://offline/ref=B2CE05253ABA8B9352A7F6337E7AFE03ACFA7BEE1DEADB2A024943B5F9CF693D313AD0BD8DF02221F597940D2157902B24BB250798D1FC22DAu3L" TargetMode="External"/><Relationship Id="rId22" Type="http://schemas.openxmlformats.org/officeDocument/2006/relationships/hyperlink" Target="consultantplus://offline/ref=B2CE05253ABA8B9352A7F6337E7AFE03ACFA7BEE1DEADB2A024943B5F9CF693D233A88B18CF33C25FF82C25C64D0uBL" TargetMode="External"/><Relationship Id="rId27" Type="http://schemas.openxmlformats.org/officeDocument/2006/relationships/hyperlink" Target="consultantplus://offline/ref=B2CE05253ABA8B9352A7F6337E7AFE03ACFA7BEE1DEADB2A024943B5F9CF693D313AD0BD8DF02025F797940D2157902B24BB250798D1FC22DAu3L" TargetMode="External"/><Relationship Id="rId30" Type="http://schemas.openxmlformats.org/officeDocument/2006/relationships/hyperlink" Target="consultantplus://offline/ref=B2CE05253ABA8B9352A7F6337E7AFE03ACFA7BEE1DEADB2A024943B5F9CF693D313AD0BD8DF02121F297940D2157902B24BB250798D1FC22DAu3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morgaushs</dc:creator>
  <cp:lastModifiedBy>поселение</cp:lastModifiedBy>
  <cp:revision>8</cp:revision>
  <cp:lastPrinted>2019-08-14T06:41:00Z</cp:lastPrinted>
  <dcterms:created xsi:type="dcterms:W3CDTF">2019-10-04T04:57:00Z</dcterms:created>
  <dcterms:modified xsi:type="dcterms:W3CDTF">2019-10-24T07:12:00Z</dcterms:modified>
</cp:coreProperties>
</file>