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443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95000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443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953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5000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1E7CE7" w:rsidRDefault="001E7CE7" w:rsidP="00950003"/>
    <w:p w:rsidR="00950003" w:rsidRDefault="00950003" w:rsidP="00950003"/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2"/>
      </w:tblGrid>
      <w:tr w:rsidR="00044337" w:rsidRPr="00044337" w:rsidTr="00AF43D6">
        <w:tc>
          <w:tcPr>
            <w:tcW w:w="5072" w:type="dxa"/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color w:val="26282F"/>
                <w:sz w:val="28"/>
                <w:szCs w:val="28"/>
                <w:lang w:eastAsia="ar-SA"/>
              </w:rPr>
              <w:t xml:space="preserve">Об утверждении Порядка формирования перечня налоговых расходов </w:t>
            </w:r>
            <w:proofErr w:type="spellStart"/>
            <w:r w:rsidRPr="00044337">
              <w:rPr>
                <w:rFonts w:ascii="Times New Roman CYR" w:eastAsia="Times New Roman CYR" w:hAnsi="Times New Roman CYR"/>
                <w:color w:val="26282F"/>
                <w:sz w:val="28"/>
                <w:szCs w:val="28"/>
                <w:lang w:eastAsia="ar-SA"/>
              </w:rPr>
              <w:t>Яндобинского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color w:val="26282F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044337">
              <w:rPr>
                <w:rFonts w:ascii="Times New Roman CYR" w:eastAsia="Times New Roman CYR" w:hAnsi="Times New Roman CYR"/>
                <w:color w:val="26282F"/>
                <w:sz w:val="28"/>
                <w:szCs w:val="28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color w:val="26282F"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044337" w:rsidRPr="00044337" w:rsidRDefault="00044337" w:rsidP="00044337">
      <w:pPr>
        <w:suppressAutoHyphens/>
        <w:autoSpaceDE w:val="0"/>
        <w:rPr>
          <w:rFonts w:ascii="Times New Roman CYR" w:eastAsia="Times New Roman CYR" w:hAnsi="Times New Roman CYR"/>
          <w:kern w:val="1"/>
          <w:sz w:val="28"/>
          <w:szCs w:val="20"/>
          <w:lang w:eastAsia="ar-SA"/>
        </w:rPr>
      </w:pPr>
      <w:r w:rsidRPr="00044337">
        <w:rPr>
          <w:sz w:val="28"/>
          <w:szCs w:val="28"/>
          <w:lang w:eastAsia="ar-SA"/>
        </w:rPr>
        <w:t xml:space="preserve">     </w:t>
      </w:r>
    </w:p>
    <w:p w:rsidR="00044337" w:rsidRPr="00044337" w:rsidRDefault="00044337" w:rsidP="00044337">
      <w:pPr>
        <w:tabs>
          <w:tab w:val="left" w:pos="7580"/>
        </w:tabs>
        <w:suppressAutoHyphens/>
        <w:autoSpaceDE w:val="0"/>
        <w:spacing w:after="120"/>
        <w:ind w:left="283"/>
        <w:rPr>
          <w:rFonts w:ascii="Times New Roman CYR" w:eastAsia="Times New Roman CYR" w:hAnsi="Times New Roman CYR"/>
          <w:kern w:val="1"/>
          <w:sz w:val="28"/>
          <w:szCs w:val="20"/>
          <w:lang w:val="x-none"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В соответствии со </w:t>
      </w:r>
      <w:hyperlink r:id="rId9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статьей 174.3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Бюджетного кодекса Российской Федерации </w:t>
      </w:r>
      <w:r w:rsidRPr="00044337">
        <w:rPr>
          <w:rFonts w:ascii="Arno Pro Light Display" w:eastAsia="Times New Roman CYR" w:hAnsi="Arno Pro Light Display" w:cs="Arno Pro Light Display"/>
          <w:kern w:val="1"/>
          <w:sz w:val="28"/>
          <w:szCs w:val="28"/>
          <w:lang w:eastAsia="ar-SA"/>
        </w:rPr>
        <w:t xml:space="preserve">администрация </w:t>
      </w:r>
      <w:proofErr w:type="spellStart"/>
      <w:r w:rsidRPr="00044337">
        <w:rPr>
          <w:rFonts w:eastAsia="Times New Roman CYR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eastAsia="Times New Roman CYR"/>
          <w:kern w:val="1"/>
          <w:sz w:val="28"/>
          <w:szCs w:val="28"/>
          <w:lang w:eastAsia="ar-SA"/>
        </w:rPr>
        <w:t xml:space="preserve"> сельского </w:t>
      </w:r>
      <w:proofErr w:type="gramStart"/>
      <w:r w:rsidRPr="00044337">
        <w:rPr>
          <w:rFonts w:eastAsia="Times New Roman CYR"/>
          <w:kern w:val="1"/>
          <w:sz w:val="28"/>
          <w:szCs w:val="28"/>
          <w:lang w:eastAsia="ar-SA"/>
        </w:rPr>
        <w:t xml:space="preserve">поселения  </w:t>
      </w:r>
      <w:proofErr w:type="spellStart"/>
      <w:r w:rsidRPr="00044337">
        <w:rPr>
          <w:rFonts w:eastAsia="Times New Roman CYR"/>
          <w:kern w:val="1"/>
          <w:sz w:val="28"/>
          <w:szCs w:val="28"/>
          <w:lang w:eastAsia="ar-SA"/>
        </w:rPr>
        <w:t>Аликовского</w:t>
      </w:r>
      <w:proofErr w:type="spellEnd"/>
      <w:proofErr w:type="gramEnd"/>
      <w:r w:rsidRPr="00044337">
        <w:rPr>
          <w:rFonts w:eastAsia="Times New Roman CYR"/>
          <w:kern w:val="1"/>
          <w:sz w:val="28"/>
          <w:szCs w:val="28"/>
          <w:lang w:eastAsia="ar-SA"/>
        </w:rPr>
        <w:t xml:space="preserve"> района Чувашской Республики ПОСТАНОВЛЯЕТ</w:t>
      </w:r>
      <w:r w:rsidRPr="00044337">
        <w:rPr>
          <w:rFonts w:ascii="Arno Pro Light Display" w:eastAsia="Times New Roman CYR" w:hAnsi="Arno Pro Light Display" w:cs="Arno Pro Light Display"/>
          <w:kern w:val="1"/>
          <w:sz w:val="28"/>
          <w:szCs w:val="28"/>
          <w:lang w:eastAsia="ar-SA"/>
        </w:rPr>
        <w:t>: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1. Утвердить прилагаемый </w:t>
      </w:r>
      <w:hyperlink w:anchor="sub_1000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Порядок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формирования перечня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>2. Контроль за исполнением настоящего постановления возлагаю на себя.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0" w:name="sub_2"/>
      <w:bookmarkEnd w:id="0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3. Настоящее постановление вступает в силу после его </w:t>
      </w:r>
      <w:hyperlink r:id="rId10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официального опубликования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8"/>
          <w:szCs w:val="28"/>
          <w:lang w:eastAsia="ar-SA"/>
        </w:rPr>
      </w:pPr>
      <w:bookmarkStart w:id="1" w:name="sub_21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69"/>
        <w:gridCol w:w="3436"/>
      </w:tblGrid>
      <w:tr w:rsidR="00044337" w:rsidRPr="00044337" w:rsidTr="00AF43D6">
        <w:tc>
          <w:tcPr>
            <w:tcW w:w="6869" w:type="dxa"/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ind w:left="170" w:right="595"/>
              <w:jc w:val="both"/>
              <w:rPr>
                <w:sz w:val="20"/>
                <w:szCs w:val="20"/>
                <w:lang w:val="x-none" w:eastAsia="ar-SA"/>
              </w:rPr>
            </w:pPr>
          </w:p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ind w:left="170" w:right="595"/>
              <w:jc w:val="both"/>
              <w:rPr>
                <w:sz w:val="20"/>
                <w:szCs w:val="20"/>
                <w:lang w:val="x-none" w:eastAsia="ar-SA"/>
              </w:rPr>
            </w:pPr>
          </w:p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ind w:left="170" w:right="595"/>
              <w:jc w:val="both"/>
              <w:rPr>
                <w:rFonts w:eastAsia="Times New Roman CYR"/>
                <w:sz w:val="28"/>
                <w:szCs w:val="28"/>
                <w:lang w:eastAsia="ar-SA"/>
              </w:rPr>
            </w:pPr>
            <w:r w:rsidRPr="00044337">
              <w:rPr>
                <w:sz w:val="28"/>
                <w:szCs w:val="28"/>
                <w:lang w:eastAsia="ar-SA"/>
              </w:rPr>
              <w:t>Г</w:t>
            </w:r>
            <w:r w:rsidRPr="00044337">
              <w:rPr>
                <w:sz w:val="28"/>
                <w:szCs w:val="28"/>
                <w:lang w:val="x-none" w:eastAsia="ar-SA"/>
              </w:rPr>
              <w:t>лав</w:t>
            </w:r>
            <w:r w:rsidRPr="00044337">
              <w:rPr>
                <w:sz w:val="28"/>
                <w:szCs w:val="28"/>
                <w:lang w:eastAsia="ar-SA"/>
              </w:rPr>
              <w:t>а</w:t>
            </w:r>
            <w:r w:rsidRPr="00044337">
              <w:rPr>
                <w:sz w:val="28"/>
                <w:szCs w:val="28"/>
                <w:lang w:val="x-none" w:eastAsia="ar-SA"/>
              </w:rPr>
              <w:t xml:space="preserve"> </w:t>
            </w:r>
            <w:proofErr w:type="spellStart"/>
            <w:r w:rsidRPr="00044337">
              <w:rPr>
                <w:sz w:val="28"/>
                <w:szCs w:val="28"/>
                <w:lang w:eastAsia="ar-SA"/>
              </w:rPr>
              <w:t>Яндобинского</w:t>
            </w:r>
            <w:proofErr w:type="spellEnd"/>
          </w:p>
          <w:p w:rsidR="00044337" w:rsidRPr="00044337" w:rsidRDefault="00044337" w:rsidP="00044337">
            <w:pPr>
              <w:spacing w:line="200" w:lineRule="atLeast"/>
              <w:ind w:left="170" w:right="595"/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 w:rsidRPr="00044337">
              <w:rPr>
                <w:rFonts w:eastAsia="Times New Roman CYR"/>
                <w:sz w:val="28"/>
                <w:szCs w:val="28"/>
                <w:lang w:eastAsia="ar-SA"/>
              </w:rPr>
              <w:t xml:space="preserve">сельского поселения   </w:t>
            </w:r>
          </w:p>
        </w:tc>
        <w:tc>
          <w:tcPr>
            <w:tcW w:w="3436" w:type="dxa"/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</w:p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        </w:t>
            </w:r>
          </w:p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both"/>
              <w:rPr>
                <w:sz w:val="20"/>
                <w:szCs w:val="20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8"/>
                <w:szCs w:val="28"/>
                <w:lang w:eastAsia="ar-SA"/>
              </w:rPr>
              <w:t xml:space="preserve">        </w:t>
            </w:r>
            <w:r w:rsidRPr="00044337">
              <w:rPr>
                <w:rFonts w:eastAsia="Times New Roman CYR"/>
                <w:sz w:val="28"/>
                <w:szCs w:val="28"/>
                <w:lang w:eastAsia="ar-SA"/>
              </w:rPr>
              <w:t xml:space="preserve">Л.П. </w:t>
            </w:r>
            <w:proofErr w:type="spellStart"/>
            <w:r w:rsidRPr="00044337">
              <w:rPr>
                <w:rFonts w:eastAsia="Times New Roman CYR"/>
                <w:sz w:val="28"/>
                <w:szCs w:val="28"/>
                <w:lang w:eastAsia="ar-SA"/>
              </w:rPr>
              <w:t>Мукин</w:t>
            </w:r>
            <w:proofErr w:type="spellEnd"/>
          </w:p>
        </w:tc>
      </w:tr>
    </w:tbl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righ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tabs>
          <w:tab w:val="left" w:pos="1875"/>
          <w:tab w:val="left" w:pos="5040"/>
        </w:tabs>
        <w:suppressAutoHyphens/>
        <w:autoSpaceDE w:val="0"/>
        <w:spacing w:line="200" w:lineRule="atLeast"/>
        <w:ind w:left="5669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eastAsia="Arial"/>
          <w:b/>
          <w:bCs/>
          <w:color w:val="000080"/>
          <w:kern w:val="1"/>
          <w:sz w:val="20"/>
          <w:szCs w:val="20"/>
          <w:lang w:eastAsia="ar-SA"/>
        </w:rPr>
        <w:t xml:space="preserve"> </w:t>
      </w:r>
      <w:r w:rsidRPr="00044337">
        <w:rPr>
          <w:rFonts w:eastAsia="Arial"/>
          <w:b/>
          <w:bCs/>
          <w:kern w:val="1"/>
          <w:sz w:val="28"/>
          <w:szCs w:val="20"/>
          <w:lang w:eastAsia="ar-SA"/>
        </w:rPr>
        <w:t>Утвержден</w:t>
      </w:r>
      <w:r w:rsidRPr="00044337">
        <w:rPr>
          <w:rFonts w:eastAsia="Times New Roman CYR"/>
          <w:kern w:val="1"/>
          <w:sz w:val="28"/>
          <w:szCs w:val="28"/>
          <w:lang w:eastAsia="ar-SA"/>
        </w:rPr>
        <w:br/>
      </w:r>
      <w:r w:rsidRPr="00044337">
        <w:rPr>
          <w:rFonts w:eastAsia="Arial"/>
          <w:b/>
          <w:bCs/>
          <w:kern w:val="1"/>
          <w:sz w:val="28"/>
          <w:szCs w:val="20"/>
          <w:lang w:eastAsia="ar-SA"/>
        </w:rPr>
        <w:t>постановлением</w:t>
      </w:r>
      <w:r w:rsidRPr="00044337">
        <w:rPr>
          <w:rFonts w:eastAsia="Arial"/>
          <w:kern w:val="1"/>
          <w:sz w:val="28"/>
          <w:szCs w:val="20"/>
          <w:lang w:eastAsia="ar-SA"/>
        </w:rPr>
        <w:t xml:space="preserve"> </w:t>
      </w:r>
      <w:r w:rsidRPr="00044337">
        <w:rPr>
          <w:rFonts w:eastAsia="Arial"/>
          <w:b/>
          <w:bCs/>
          <w:kern w:val="1"/>
          <w:sz w:val="28"/>
          <w:szCs w:val="20"/>
          <w:lang w:eastAsia="ar-SA"/>
        </w:rPr>
        <w:t>администрации</w:t>
      </w:r>
      <w:r w:rsidRPr="00044337">
        <w:rPr>
          <w:rFonts w:eastAsia="Times New Roman CYR"/>
          <w:kern w:val="1"/>
          <w:sz w:val="28"/>
          <w:szCs w:val="28"/>
          <w:lang w:eastAsia="ar-SA"/>
        </w:rPr>
        <w:br/>
      </w:r>
      <w:proofErr w:type="spellStart"/>
      <w:r w:rsidRPr="00044337">
        <w:rPr>
          <w:rFonts w:eastAsia="Times New Roman CYR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eastAsia="Times New Roman CYR"/>
          <w:kern w:val="1"/>
          <w:sz w:val="28"/>
          <w:szCs w:val="28"/>
          <w:lang w:eastAsia="ar-SA"/>
        </w:rPr>
        <w:t xml:space="preserve"> сельского </w:t>
      </w:r>
      <w:proofErr w:type="gramStart"/>
      <w:r w:rsidRPr="00044337">
        <w:rPr>
          <w:rFonts w:eastAsia="Times New Roman CYR"/>
          <w:kern w:val="1"/>
          <w:sz w:val="28"/>
          <w:szCs w:val="28"/>
          <w:lang w:eastAsia="ar-SA"/>
        </w:rPr>
        <w:t xml:space="preserve">поселения  </w:t>
      </w:r>
      <w:proofErr w:type="spellStart"/>
      <w:r w:rsidRPr="00044337">
        <w:rPr>
          <w:rFonts w:eastAsia="Arial"/>
          <w:b/>
          <w:bCs/>
          <w:kern w:val="1"/>
          <w:sz w:val="28"/>
          <w:szCs w:val="20"/>
          <w:lang w:eastAsia="ar-SA"/>
        </w:rPr>
        <w:t>Аликовского</w:t>
      </w:r>
      <w:proofErr w:type="spellEnd"/>
      <w:proofErr w:type="gramEnd"/>
      <w:r w:rsidRPr="00044337">
        <w:rPr>
          <w:rFonts w:eastAsia="Arial"/>
          <w:b/>
          <w:bCs/>
          <w:kern w:val="1"/>
          <w:sz w:val="28"/>
          <w:szCs w:val="20"/>
          <w:lang w:eastAsia="ar-SA"/>
        </w:rPr>
        <w:t xml:space="preserve"> района от 15 ноября 2019 г. N 85 а</w:t>
      </w: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</w:p>
    <w:p w:rsidR="00044337" w:rsidRPr="00044337" w:rsidRDefault="00044337" w:rsidP="00044337">
      <w:pPr>
        <w:keepNext/>
        <w:suppressAutoHyphens/>
        <w:autoSpaceDE w:val="0"/>
        <w:spacing w:before="108" w:after="108" w:line="200" w:lineRule="atLeast"/>
        <w:jc w:val="center"/>
        <w:outlineLvl w:val="0"/>
        <w:rPr>
          <w:rFonts w:ascii="Times New Roman CYR" w:eastAsia="Times New Roman CYR" w:hAnsi="Times New Roman CYR"/>
          <w:b/>
          <w:bCs/>
          <w:kern w:val="1"/>
          <w:sz w:val="28"/>
          <w:szCs w:val="20"/>
          <w:lang w:eastAsia="ar-SA"/>
        </w:rPr>
      </w:pPr>
      <w:bookmarkStart w:id="2" w:name="sub_1000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Порядок</w:t>
      </w:r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br/>
        <w:t xml:space="preserve">формирования перечня налоговых расходов </w:t>
      </w:r>
      <w:proofErr w:type="spellStart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 xml:space="preserve"> района</w:t>
      </w:r>
    </w:p>
    <w:bookmarkEnd w:id="2"/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8"/>
          <w:szCs w:val="20"/>
          <w:lang w:eastAsia="ar-SA"/>
        </w:rPr>
      </w:pPr>
    </w:p>
    <w:p w:rsidR="00044337" w:rsidRPr="00044337" w:rsidRDefault="00044337" w:rsidP="00044337">
      <w:pPr>
        <w:keepNext/>
        <w:suppressAutoHyphens/>
        <w:autoSpaceDE w:val="0"/>
        <w:spacing w:before="108" w:after="108" w:line="200" w:lineRule="atLeast"/>
        <w:jc w:val="center"/>
        <w:outlineLvl w:val="0"/>
        <w:rPr>
          <w:rFonts w:ascii="Times New Roman CYR" w:eastAsia="Times New Roman CYR" w:hAnsi="Times New Roman CYR"/>
          <w:b/>
          <w:bCs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1. Общие положения</w:t>
      </w: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3" w:name="sub_1001"/>
      <w:bookmarkEnd w:id="3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Настоящий Порядок определяет процедуру формирования перечня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по налогам, установленным решением Собрания депутатов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пределах полномочий, отнесенных </w:t>
      </w:r>
      <w:hyperlink r:id="rId11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законодательством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Российской Федерации о налогах и сборах к ведению органов местного самоуправления.</w:t>
      </w: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</w:pPr>
      <w:bookmarkStart w:id="4" w:name="sub_10012"/>
      <w:bookmarkStart w:id="5" w:name="sub_10011"/>
      <w:bookmarkEnd w:id="4"/>
      <w:bookmarkEnd w:id="5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>Для целей настоящего Порядка используются следующие понятия и термины: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ab/>
        <w:t xml:space="preserve">налоговые расходы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 xml:space="preserve"> района</w:t>
      </w: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- выпадающие доходы бюджета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не относящимися к муниципальным программам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района;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ab/>
        <w:t xml:space="preserve">куратор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 xml:space="preserve"> района</w:t>
      </w: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– администрация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ответственная в соответствии с полномочиями, установленными нормативными правовыми актами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за достижение соответствующих налоговому расходу целей муниципальной программы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ее структурных элементов и (или) целей социально-экономического развития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не относящихся к муниципальным программам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района;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0"/>
          <w:lang w:eastAsia="ar-SA"/>
        </w:rPr>
      </w:pPr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ab/>
        <w:t xml:space="preserve">перечень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b/>
          <w:bCs/>
          <w:kern w:val="1"/>
          <w:sz w:val="28"/>
          <w:szCs w:val="28"/>
          <w:lang w:eastAsia="ar-SA"/>
        </w:rPr>
        <w:t xml:space="preserve"> района</w:t>
      </w: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- документ, содержащий сведения о распределении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соответствии с целями муниципальных программ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не </w:t>
      </w: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lastRenderedPageBreak/>
        <w:t xml:space="preserve">относящимися к муниципальным программам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а также о кураторах налоговых расходов.</w:t>
      </w: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8"/>
          <w:szCs w:val="20"/>
          <w:lang w:eastAsia="ar-SA"/>
        </w:rPr>
      </w:pPr>
    </w:p>
    <w:p w:rsidR="00044337" w:rsidRPr="00044337" w:rsidRDefault="00044337" w:rsidP="00044337">
      <w:pPr>
        <w:keepNext/>
        <w:suppressAutoHyphens/>
        <w:autoSpaceDE w:val="0"/>
        <w:spacing w:before="108" w:after="108" w:line="200" w:lineRule="atLeast"/>
        <w:jc w:val="center"/>
        <w:outlineLvl w:val="0"/>
        <w:rPr>
          <w:rFonts w:ascii="Times New Roman CYR" w:eastAsia="Times New Roman CYR" w:hAnsi="Times New Roman CYR"/>
          <w:b/>
          <w:bCs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 xml:space="preserve">2. Порядок формирования перечня налоговых расходов </w:t>
      </w:r>
      <w:proofErr w:type="spellStart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 w:val="28"/>
          <w:szCs w:val="28"/>
          <w:lang w:eastAsia="ar-SA"/>
        </w:rPr>
        <w:t xml:space="preserve"> района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2.1. Проект перечня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на очередной финансовый год и на плановый период (далее - проект перечня налоговых расходов) формируется финансовым отделом администрации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(далее - финансовым отделом) ежегодно по форме согласно </w:t>
      </w:r>
      <w:hyperlink w:anchor="sub_1100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приложению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к настоящему Порядку в срок до 1 ноября текущего года и направляется на согласование куратору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6" w:name="sub_1002"/>
      <w:bookmarkEnd w:id="6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2.2. Администрация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в срок до 10 ноября текущего года рассматривает проект перечня налоговых расходов на предмет предлагаемого распределения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соответствии с целями муниципальных программ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их структурных элементов, с учетом мер муниципального регулирования в сфере реализации соответствующих муниципальных программ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(или) целями социально-экономического развития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не относящимися к муниципальным программам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определения кураторов налоговых расходов, и информируют финансовый отдел о согласовании проекта перечня налоговых расходов.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7" w:name="sub_10021"/>
      <w:bookmarkEnd w:id="7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В случае несогласия с проектом перечня налоговых расходов, администрация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срок, указанный в </w:t>
      </w:r>
      <w:hyperlink w:anchor="sub_22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абзаце первом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настоящего пункта, направляет в финансовый отдел замечания и предложения по уточнению распределения налоговых расходов с указанием цели муниципальной программы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ее структурных элементов и (или) целей социально-экономического развития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не относящимися к муниципальным программам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8" w:name="sub_22"/>
      <w:bookmarkEnd w:id="8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В случае, если результаты рассмотрения не направлены в финансовый отдел в течение срока, указанного в </w:t>
      </w:r>
      <w:hyperlink w:anchor="sub_22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абзаце первом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настоящего пункта, проект перечня налоговых расходов считается согласованным.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9" w:name="sub_2111"/>
      <w:bookmarkEnd w:id="9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В случае, если замечания и предложения к отдельным позициям проекта перечня налоговых расходов не содержат конкретных предложений по уточнению распределения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определению кураторов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перечень налоговых расходов считается согласованным в отношении соответствующих позиций.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При наличии разногласий по проекту перечня налоговых расходов финансовый отдел обеспечивает проведение согласительных совещаний с администрацией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до 20 ноября текущего финансового года.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lastRenderedPageBreak/>
        <w:tab/>
        <w:t xml:space="preserve">2.3. После завершения процедур, указанных в </w:t>
      </w:r>
      <w:hyperlink w:anchor="sub_22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пункте 2.2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настоящего Порядка, перечень налоговых расходов считается сформированным и размещается на </w:t>
      </w:r>
      <w:hyperlink r:id="rId12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официальном сайте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на портале органов государственной власти Чувашской Республики в информационно-телекоммуникационной сети "Интернет" не позднее 1 декабря текущего года.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ab/>
        <w:t xml:space="preserve">2.4. В случае изменения в текущем финансовом году состава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внесения изменений в перечень муниципальных программ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и их структурных элементов, изменения полномочий органов местного самоуправления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района, указанных в </w:t>
      </w:r>
      <w:hyperlink w:anchor="sub_22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пункте 2.2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настоящего Порядка, затрагивающих перечень налоговых расходов, куратор налоговых расходов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срок не позднее 10 рабочих дней с даты внесения соответствующих изменений направляют в финансовый отдел информацию для уточнения перечня налоговых расходов. Финансовый отдел вносит соответствующие изменения в перечень налоговых расходов и размещает перечень налоговых расходов на </w:t>
      </w:r>
      <w:hyperlink r:id="rId13" w:history="1">
        <w:r w:rsidRPr="00044337">
          <w:rPr>
            <w:rFonts w:ascii="Times New Roman CYR" w:eastAsia="Times New Roman CYR" w:hAnsi="Times New Roman CYR" w:cs="Courier New"/>
            <w:kern w:val="1"/>
            <w:sz w:val="28"/>
            <w:szCs w:val="20"/>
            <w:u w:val="single"/>
            <w:lang w:eastAsia="ar-SA"/>
          </w:rPr>
          <w:t>официальном сайте</w:t>
        </w:r>
      </w:hyperlink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  <w:t xml:space="preserve"> района в информационно-телекоммуникационной сети "Интернет" в течение 10 рабочих дней с даты получения указанной информации.</w:t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8"/>
          <w:lang w:eastAsia="ar-SA"/>
        </w:rPr>
      </w:pPr>
      <w:bookmarkStart w:id="10" w:name="sub_24"/>
      <w:bookmarkEnd w:id="10"/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8"/>
          <w:szCs w:val="20"/>
          <w:lang w:eastAsia="ar-SA"/>
        </w:rPr>
      </w:pPr>
      <w:bookmarkStart w:id="11" w:name="sub_241"/>
      <w:bookmarkEnd w:id="11"/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  <w:bookmarkStart w:id="12" w:name="sub_231"/>
      <w:bookmarkStart w:id="13" w:name="sub_23"/>
      <w:bookmarkEnd w:id="12"/>
      <w:bookmarkEnd w:id="13"/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  <w:r w:rsidRPr="00044337"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  <w:tab/>
      </w: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suppressAutoHyphens/>
        <w:autoSpaceDE w:val="0"/>
        <w:spacing w:line="200" w:lineRule="atLeast"/>
        <w:ind w:left="5613"/>
        <w:jc w:val="both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 xml:space="preserve"> Приложение</w:t>
      </w:r>
      <w:r w:rsidRPr="00044337">
        <w:rPr>
          <w:rFonts w:eastAsia="Times New Roman CYR"/>
          <w:kern w:val="1"/>
          <w:sz w:val="20"/>
          <w:szCs w:val="20"/>
          <w:lang w:eastAsia="ar-SA"/>
        </w:rPr>
        <w:br/>
      </w:r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 xml:space="preserve">к </w:t>
      </w:r>
      <w:hyperlink w:anchor="sub_1000" w:history="1">
        <w:r w:rsidRPr="00044337">
          <w:rPr>
            <w:rFonts w:eastAsia="Arial"/>
            <w:kern w:val="1"/>
            <w:sz w:val="20"/>
            <w:szCs w:val="20"/>
            <w:u w:val="single"/>
            <w:lang w:eastAsia="ar-SA"/>
          </w:rPr>
          <w:t>Порядку</w:t>
        </w:r>
      </w:hyperlink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 xml:space="preserve"> формирования перечня</w:t>
      </w:r>
      <w:r w:rsidRPr="00044337">
        <w:rPr>
          <w:rFonts w:eastAsia="Times New Roman CYR"/>
          <w:kern w:val="1"/>
          <w:sz w:val="20"/>
          <w:szCs w:val="20"/>
          <w:lang w:eastAsia="ar-SA"/>
        </w:rPr>
        <w:br/>
      </w:r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 xml:space="preserve">налоговых расходов </w:t>
      </w:r>
      <w:proofErr w:type="spellStart"/>
      <w:r w:rsidRPr="00044337">
        <w:rPr>
          <w:rFonts w:eastAsia="Times New Roman CYR"/>
          <w:kern w:val="1"/>
          <w:sz w:val="20"/>
          <w:szCs w:val="20"/>
          <w:lang w:eastAsia="ar-SA"/>
        </w:rPr>
        <w:t>Яндобинского</w:t>
      </w:r>
      <w:proofErr w:type="spellEnd"/>
      <w:r w:rsidRPr="00044337">
        <w:rPr>
          <w:rFonts w:eastAsia="Times New Roman CYR"/>
          <w:kern w:val="1"/>
          <w:sz w:val="20"/>
          <w:szCs w:val="20"/>
          <w:lang w:eastAsia="ar-SA"/>
        </w:rPr>
        <w:t xml:space="preserve"> сельского поселения </w:t>
      </w:r>
      <w:proofErr w:type="spellStart"/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>Аликовского</w:t>
      </w:r>
      <w:proofErr w:type="spellEnd"/>
      <w:r w:rsidRPr="00044337">
        <w:rPr>
          <w:rFonts w:eastAsia="Arial"/>
          <w:b/>
          <w:bCs/>
          <w:kern w:val="1"/>
          <w:sz w:val="20"/>
          <w:szCs w:val="20"/>
          <w:lang w:eastAsia="ar-SA"/>
        </w:rPr>
        <w:t xml:space="preserve"> района</w:t>
      </w:r>
    </w:p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p w:rsidR="00044337" w:rsidRPr="00044337" w:rsidRDefault="00044337" w:rsidP="00044337">
      <w:pPr>
        <w:keepNext/>
        <w:suppressAutoHyphens/>
        <w:autoSpaceDE w:val="0"/>
        <w:spacing w:before="108" w:after="108" w:line="200" w:lineRule="atLeast"/>
        <w:outlineLvl w:val="0"/>
        <w:rPr>
          <w:rFonts w:ascii="Times New Roman CYR" w:eastAsia="Times New Roman CYR" w:hAnsi="Times New Roman CYR"/>
          <w:b/>
          <w:bCs/>
          <w:kern w:val="1"/>
          <w:szCs w:val="20"/>
          <w:lang w:eastAsia="ar-SA"/>
        </w:rPr>
      </w:pPr>
      <w:bookmarkStart w:id="14" w:name="sub_1100"/>
      <w:r w:rsidRPr="00044337">
        <w:rPr>
          <w:rFonts w:ascii="Times New Roman CYR" w:eastAsia="Times New Roman CYR" w:hAnsi="Times New Roman CYR"/>
          <w:b/>
          <w:bCs/>
          <w:szCs w:val="20"/>
          <w:lang w:eastAsia="ar-SA"/>
        </w:rPr>
        <w:t xml:space="preserve">          Перечень налоговых расходов </w:t>
      </w:r>
      <w:proofErr w:type="spellStart"/>
      <w:r w:rsidRPr="00044337">
        <w:rPr>
          <w:rFonts w:ascii="Times New Roman CYR" w:eastAsia="Times New Roman CYR" w:hAnsi="Times New Roman CYR"/>
          <w:b/>
          <w:bCs/>
          <w:szCs w:val="20"/>
          <w:lang w:eastAsia="ar-SA"/>
        </w:rPr>
        <w:t>Яндобинского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Cs w:val="20"/>
          <w:lang w:eastAsia="ar-SA"/>
        </w:rPr>
        <w:t xml:space="preserve"> сельского поселения </w:t>
      </w:r>
      <w:proofErr w:type="spellStart"/>
      <w:r w:rsidRPr="00044337">
        <w:rPr>
          <w:rFonts w:ascii="Times New Roman CYR" w:eastAsia="Times New Roman CYR" w:hAnsi="Times New Roman CYR"/>
          <w:b/>
          <w:bCs/>
          <w:szCs w:val="20"/>
          <w:lang w:eastAsia="ar-SA"/>
        </w:rPr>
        <w:t>Аликовского</w:t>
      </w:r>
      <w:proofErr w:type="spellEnd"/>
      <w:r w:rsidRPr="00044337">
        <w:rPr>
          <w:rFonts w:ascii="Times New Roman CYR" w:eastAsia="Times New Roman CYR" w:hAnsi="Times New Roman CYR"/>
          <w:b/>
          <w:bCs/>
          <w:szCs w:val="20"/>
          <w:lang w:eastAsia="ar-SA"/>
        </w:rPr>
        <w:t xml:space="preserve"> района</w:t>
      </w:r>
    </w:p>
    <w:bookmarkEnd w:id="14"/>
    <w:p w:rsidR="00044337" w:rsidRPr="00044337" w:rsidRDefault="00044337" w:rsidP="00044337">
      <w:pPr>
        <w:suppressAutoHyphens/>
        <w:autoSpaceDE w:val="0"/>
        <w:spacing w:line="200" w:lineRule="atLeast"/>
        <w:rPr>
          <w:rFonts w:ascii="Times New Roman CYR" w:eastAsia="Times New Roman CYR" w:hAnsi="Times New Roman CYR" w:cs="Courier New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3"/>
        <w:gridCol w:w="950"/>
        <w:gridCol w:w="949"/>
        <w:gridCol w:w="948"/>
        <w:gridCol w:w="950"/>
        <w:gridCol w:w="949"/>
        <w:gridCol w:w="950"/>
        <w:gridCol w:w="948"/>
        <w:gridCol w:w="950"/>
        <w:gridCol w:w="949"/>
        <w:gridCol w:w="948"/>
      </w:tblGrid>
      <w:tr w:rsidR="00044337" w:rsidRPr="00044337" w:rsidTr="00AF43D6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N п/п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Наименование налога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Нормативный правовой акт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0"/>
                <w:szCs w:val="20"/>
                <w:lang w:eastAsia="ar-SA"/>
              </w:rPr>
              <w:t>Яндобинскогосельского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0"/>
                <w:szCs w:val="20"/>
                <w:lang w:eastAsia="ar-SA"/>
              </w:rPr>
              <w:t xml:space="preserve"> поселения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 района (статья, часть, пункт, абзац), устанавливающий налоговый расход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Категория получателей налогового расхода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Условия (основания) предоставления налогового расхода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Дата начала действия налогового расхода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Дата прекращения действия налогового расход</w:t>
            </w:r>
            <w:bookmarkStart w:id="15" w:name="_GoBack"/>
            <w:bookmarkEnd w:id="15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Наименование муниципальной программы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 района, наименование нормативных правовых актов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 района, определяющих цели социально-экономического развития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 района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Наименование целевого показателя (индикатора) достижения целей предоставления налогового расхода в соответствии с муниципальной программой </w:t>
            </w:r>
            <w:proofErr w:type="spellStart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Аликовского</w:t>
            </w:r>
            <w:proofErr w:type="spellEnd"/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 xml:space="preserve"> района, ее структурных элементов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Куратор налогового расхода</w:t>
            </w:r>
          </w:p>
        </w:tc>
      </w:tr>
      <w:tr w:rsidR="00044337" w:rsidRPr="00044337" w:rsidTr="00AF43D6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337" w:rsidRPr="00044337" w:rsidRDefault="00044337" w:rsidP="00044337">
            <w:pPr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044337">
              <w:rPr>
                <w:rFonts w:ascii="Times New Roman CYR" w:eastAsia="Times New Roman CYR" w:hAnsi="Times New Roman CYR"/>
                <w:sz w:val="23"/>
                <w:szCs w:val="23"/>
                <w:lang w:eastAsia="ar-SA"/>
              </w:rPr>
              <w:t>11</w:t>
            </w:r>
          </w:p>
        </w:tc>
      </w:tr>
    </w:tbl>
    <w:p w:rsidR="00044337" w:rsidRPr="00044337" w:rsidRDefault="00044337" w:rsidP="00044337">
      <w:pPr>
        <w:tabs>
          <w:tab w:val="left" w:pos="7580"/>
        </w:tabs>
        <w:suppressAutoHyphens/>
        <w:autoSpaceDE w:val="0"/>
        <w:spacing w:after="120"/>
        <w:ind w:left="283"/>
        <w:rPr>
          <w:rFonts w:ascii="Times New Roman CYR" w:eastAsia="Times New Roman CYR" w:hAnsi="Times New Roman CYR"/>
          <w:kern w:val="1"/>
          <w:sz w:val="28"/>
          <w:szCs w:val="28"/>
          <w:lang w:val="x-none" w:eastAsia="ar-SA"/>
        </w:rPr>
      </w:pPr>
    </w:p>
    <w:p w:rsidR="00044337" w:rsidRPr="00044337" w:rsidRDefault="00044337" w:rsidP="00044337">
      <w:pPr>
        <w:suppressAutoHyphens/>
        <w:autoSpaceDE w:val="0"/>
        <w:rPr>
          <w:sz w:val="20"/>
          <w:szCs w:val="20"/>
          <w:lang w:eastAsia="ar-SA"/>
        </w:rPr>
      </w:pPr>
    </w:p>
    <w:p w:rsidR="00C35BC9" w:rsidRPr="00044337" w:rsidRDefault="00C35BC9" w:rsidP="000B2A7A"/>
    <w:sectPr w:rsidR="00C35BC9" w:rsidRPr="00044337" w:rsidSect="00F25B89">
      <w:footerReference w:type="default" r:id="rId14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19" w:rsidRDefault="00945B19">
      <w:r>
        <w:separator/>
      </w:r>
    </w:p>
  </w:endnote>
  <w:endnote w:type="continuationSeparator" w:id="0">
    <w:p w:rsidR="00945B19" w:rsidRDefault="009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Light Display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945B19">
    <w:pPr>
      <w:pStyle w:val="ae"/>
      <w:jc w:val="right"/>
    </w:pPr>
  </w:p>
  <w:p w:rsidR="00E81622" w:rsidRDefault="00945B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19" w:rsidRDefault="00945B19">
      <w:r>
        <w:separator/>
      </w:r>
    </w:p>
  </w:footnote>
  <w:footnote w:type="continuationSeparator" w:id="0">
    <w:p w:rsidR="00945B19" w:rsidRDefault="0094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multilevel"/>
    <w:tmpl w:val="76203E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6"/>
  </w:num>
  <w:num w:numId="3">
    <w:abstractNumId w:val="43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2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4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5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44337"/>
    <w:rsid w:val="00051CFA"/>
    <w:rsid w:val="00060BA3"/>
    <w:rsid w:val="00091CE2"/>
    <w:rsid w:val="00094D5A"/>
    <w:rsid w:val="000A7B48"/>
    <w:rsid w:val="000B2A7A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765"/>
    <w:rsid w:val="00391A2A"/>
    <w:rsid w:val="00454A96"/>
    <w:rsid w:val="0047291D"/>
    <w:rsid w:val="004B0425"/>
    <w:rsid w:val="004B72A0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45B19"/>
    <w:rsid w:val="00950003"/>
    <w:rsid w:val="00975549"/>
    <w:rsid w:val="00977D8F"/>
    <w:rsid w:val="009953C7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C251CF"/>
    <w:rsid w:val="00C35364"/>
    <w:rsid w:val="00C35BC9"/>
    <w:rsid w:val="00C41E7C"/>
    <w:rsid w:val="00C5479C"/>
    <w:rsid w:val="00CC0CFE"/>
    <w:rsid w:val="00CD5A91"/>
    <w:rsid w:val="00CF7219"/>
    <w:rsid w:val="00D02D8E"/>
    <w:rsid w:val="00D03690"/>
    <w:rsid w:val="00D42F0E"/>
    <w:rsid w:val="00D55932"/>
    <w:rsid w:val="00D8022B"/>
    <w:rsid w:val="00DA4175"/>
    <w:rsid w:val="00DD0B40"/>
    <w:rsid w:val="00E172EA"/>
    <w:rsid w:val="00E60404"/>
    <w:rsid w:val="00E7540E"/>
    <w:rsid w:val="00EA7B94"/>
    <w:rsid w:val="00EB4B0B"/>
    <w:rsid w:val="00ED3B88"/>
    <w:rsid w:val="00F244E9"/>
    <w:rsid w:val="00F25B8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520999/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520999/7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900200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288557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17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81E2-3F35-4F48-88C9-3CAE180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2019-11-27T10:25:00Z</cp:lastPrinted>
  <dcterms:created xsi:type="dcterms:W3CDTF">2019-12-18T05:42:00Z</dcterms:created>
  <dcterms:modified xsi:type="dcterms:W3CDTF">2019-12-18T05:42:00Z</dcterms:modified>
</cp:coreProperties>
</file>