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0A23AE" w:rsidTr="000A23AE">
        <w:tc>
          <w:tcPr>
            <w:tcW w:w="4248" w:type="dxa"/>
          </w:tcPr>
          <w:p w:rsidR="000A23AE" w:rsidRDefault="000A23AE" w:rsidP="000A23AE">
            <w:pPr>
              <w:pStyle w:val="a6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                </w:t>
            </w:r>
          </w:p>
          <w:p w:rsidR="000A23AE" w:rsidRDefault="000A23AE" w:rsidP="000A23AE">
            <w:pPr>
              <w:pStyle w:val="a6"/>
            </w:pP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 Республики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0A23AE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 район.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Аслё</w:t>
            </w:r>
            <w:proofErr w:type="spellEnd"/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0A23AE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ял </w:t>
            </w: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поселений</w:t>
            </w:r>
            <w:proofErr w:type="gramStart"/>
            <w:r w:rsidRPr="000A23AE">
              <w:rPr>
                <w:rFonts w:ascii="Times New Roman Chuv" w:hAnsi="Times New Roman Chuv"/>
                <w:sz w:val="26"/>
                <w:szCs w:val="26"/>
              </w:rPr>
              <w:t>.н</w:t>
            </w:r>
            <w:proofErr w:type="spellEnd"/>
            <w:proofErr w:type="gramEnd"/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0A23AE">
              <w:rPr>
                <w:rFonts w:ascii="Times New Roman Chuv" w:hAnsi="Times New Roman Chuv"/>
                <w:sz w:val="26"/>
                <w:szCs w:val="26"/>
              </w:rPr>
              <w:t>администрация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0A23AE">
              <w:rPr>
                <w:rFonts w:ascii="Times New Roman Chuv" w:hAnsi="Times New Roman Chuv"/>
                <w:sz w:val="26"/>
                <w:szCs w:val="26"/>
              </w:rPr>
              <w:t>ЙЫШЁНУ</w:t>
            </w:r>
          </w:p>
          <w:p w:rsidR="000A23AE" w:rsidRPr="000A23AE" w:rsidRDefault="00734F51" w:rsidP="000A23AE">
            <w:pPr>
              <w:pStyle w:val="a6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>2019 =? мартён  26</w:t>
            </w:r>
            <w:r w:rsidR="000A23AE">
              <w:rPr>
                <w:rFonts w:ascii="Times New Roman Chuv" w:hAnsi="Times New Roman Chuv"/>
                <w:sz w:val="26"/>
                <w:szCs w:val="26"/>
              </w:rPr>
              <w:t xml:space="preserve">- </w:t>
            </w:r>
            <w:proofErr w:type="spellStart"/>
            <w:r w:rsidR="000A23AE">
              <w:rPr>
                <w:rFonts w:ascii="Times New Roman Chuv" w:hAnsi="Times New Roman Chuv"/>
                <w:sz w:val="26"/>
                <w:szCs w:val="26"/>
              </w:rPr>
              <w:t>м.ш</w:t>
            </w:r>
            <w:proofErr w:type="spellEnd"/>
            <w:r w:rsidR="000A23AE">
              <w:rPr>
                <w:rFonts w:ascii="Times New Roman Chuv" w:hAnsi="Times New Roman Chuv"/>
                <w:sz w:val="26"/>
                <w:szCs w:val="26"/>
              </w:rPr>
              <w:t>. №9</w:t>
            </w:r>
          </w:p>
          <w:p w:rsidR="000A23AE" w:rsidRDefault="000A23AE" w:rsidP="000A23A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Аслё</w:t>
            </w:r>
            <w:proofErr w:type="spellEnd"/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0A23AE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0A23AE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  <w:r w:rsidRPr="000A23AE">
              <w:rPr>
                <w:rFonts w:ascii="Times New Roman Chuv" w:hAnsi="Times New Roman Chuv"/>
                <w:sz w:val="26"/>
                <w:szCs w:val="26"/>
              </w:rPr>
              <w:t xml:space="preserve"> ял.</w:t>
            </w:r>
          </w:p>
        </w:tc>
        <w:tc>
          <w:tcPr>
            <w:tcW w:w="1260" w:type="dxa"/>
            <w:hideMark/>
          </w:tcPr>
          <w:p w:rsidR="000A23AE" w:rsidRDefault="000A23AE" w:rsidP="000A23AE">
            <w:pPr>
              <w:pStyle w:val="a6"/>
              <w:rPr>
                <w:sz w:val="24"/>
                <w:szCs w:val="24"/>
              </w:rPr>
            </w:pPr>
            <w:r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0A23AE" w:rsidRDefault="000A23AE" w:rsidP="000A23AE">
            <w:pPr>
              <w:pStyle w:val="a6"/>
              <w:rPr>
                <w:rFonts w:ascii="Times New Roman Chuv" w:eastAsia="Times New Roman" w:hAnsi="Times New Roman Chuv" w:cs="Times New Roman"/>
                <w:sz w:val="26"/>
                <w:szCs w:val="26"/>
              </w:rPr>
            </w:pP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0A23A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0A23AE" w:rsidRPr="000A23AE" w:rsidRDefault="000A23AE" w:rsidP="000A23AE">
            <w:pPr>
              <w:pStyle w:val="a6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A23AE">
              <w:rPr>
                <w:rFonts w:ascii="Times New Roman" w:eastAsiaTheme="minorEastAsia" w:hAnsi="Times New Roman" w:cs="Times New Roman"/>
                <w:sz w:val="26"/>
                <w:szCs w:val="26"/>
              </w:rPr>
              <w:t>ПОСТАНОВЛЕНИЕ</w:t>
            </w:r>
          </w:p>
          <w:p w:rsidR="000A23AE" w:rsidRPr="000A23AE" w:rsidRDefault="00734F51" w:rsidP="000A23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«26</w:t>
            </w:r>
            <w:r w:rsidR="000A23AE">
              <w:rPr>
                <w:rFonts w:ascii="Times New Roman" w:hAnsi="Times New Roman" w:cs="Times New Roman"/>
                <w:sz w:val="26"/>
                <w:szCs w:val="26"/>
              </w:rPr>
              <w:t>»  марта 2019 г.  №9</w:t>
            </w:r>
          </w:p>
          <w:p w:rsidR="000A23AE" w:rsidRDefault="000A23AE" w:rsidP="000A23A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3AE">
              <w:rPr>
                <w:rFonts w:ascii="Times New Roman" w:hAnsi="Times New Roman" w:cs="Times New Roman"/>
                <w:sz w:val="26"/>
                <w:szCs w:val="26"/>
              </w:rPr>
              <w:t>село Большие Яльчики</w:t>
            </w:r>
          </w:p>
        </w:tc>
      </w:tr>
    </w:tbl>
    <w:p w:rsidR="006231A9" w:rsidRDefault="006231A9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0A23AE" w:rsidRDefault="000A23AE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0A23AE" w:rsidRDefault="000A23AE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DB7EED" w:rsidRPr="00DB7EED" w:rsidRDefault="006231A9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несении изменений в муниципальную программу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 xml:space="preserve">«Формирование </w:t>
      </w:r>
      <w:proofErr w:type="gramStart"/>
      <w:r w:rsidRPr="00DB7EED">
        <w:rPr>
          <w:sz w:val="26"/>
          <w:szCs w:val="26"/>
        </w:rPr>
        <w:t>современной</w:t>
      </w:r>
      <w:proofErr w:type="gramEnd"/>
      <w:r w:rsidRPr="00DB7EED">
        <w:rPr>
          <w:sz w:val="26"/>
          <w:szCs w:val="26"/>
        </w:rPr>
        <w:t xml:space="preserve"> 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 xml:space="preserve">городской среды на территории 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proofErr w:type="spellStart"/>
      <w:r w:rsidRPr="00DB7EED">
        <w:rPr>
          <w:sz w:val="26"/>
          <w:szCs w:val="26"/>
        </w:rPr>
        <w:t>Большеяльчикского</w:t>
      </w:r>
      <w:proofErr w:type="spellEnd"/>
      <w:r w:rsidRPr="00DB7EED">
        <w:rPr>
          <w:sz w:val="26"/>
          <w:szCs w:val="26"/>
        </w:rPr>
        <w:t xml:space="preserve"> сельского поселения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 xml:space="preserve">Яльчикского района Чувашской Республики </w:t>
      </w:r>
    </w:p>
    <w:p w:rsidR="00DB7EED" w:rsidRPr="00DB7EED" w:rsidRDefault="00DB402C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2018-2022 годы», утвержденную</w:t>
      </w:r>
      <w:r w:rsidR="00DB7EED" w:rsidRPr="00DB7EED">
        <w:rPr>
          <w:sz w:val="26"/>
          <w:szCs w:val="26"/>
        </w:rPr>
        <w:t xml:space="preserve"> 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>постановлением администрации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proofErr w:type="spellStart"/>
      <w:r w:rsidRPr="00DB7EED">
        <w:rPr>
          <w:sz w:val="26"/>
          <w:szCs w:val="26"/>
        </w:rPr>
        <w:t>Большеяльчикского</w:t>
      </w:r>
      <w:proofErr w:type="spellEnd"/>
      <w:r w:rsidRPr="00DB7EED">
        <w:rPr>
          <w:sz w:val="26"/>
          <w:szCs w:val="26"/>
        </w:rPr>
        <w:t xml:space="preserve"> сельского поселения 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>Яльчикского района Чувашской Республики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>от 17.07.2018 № 32</w:t>
      </w: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</w:p>
    <w:p w:rsidR="0027340F" w:rsidRDefault="0027340F" w:rsidP="0027340F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19"/>
          <w:szCs w:val="19"/>
        </w:rPr>
      </w:pP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 xml:space="preserve">Руководствуясь Бюджетным кодексом Российской Федерации, Уставом </w:t>
      </w:r>
      <w:proofErr w:type="spellStart"/>
      <w:r w:rsidRPr="00DB7EED">
        <w:rPr>
          <w:sz w:val="26"/>
          <w:szCs w:val="26"/>
        </w:rPr>
        <w:t>Большеяльчикского</w:t>
      </w:r>
      <w:proofErr w:type="spellEnd"/>
      <w:r w:rsidRPr="00DB7EED">
        <w:rPr>
          <w:sz w:val="26"/>
          <w:szCs w:val="26"/>
        </w:rPr>
        <w:t xml:space="preserve"> сельского поселения </w:t>
      </w:r>
      <w:proofErr w:type="spellStart"/>
      <w:r w:rsidRPr="00DB7EED">
        <w:rPr>
          <w:sz w:val="26"/>
          <w:szCs w:val="26"/>
        </w:rPr>
        <w:t>Яльчикского</w:t>
      </w:r>
      <w:proofErr w:type="spellEnd"/>
      <w:r w:rsidRPr="00DB7EED">
        <w:rPr>
          <w:sz w:val="26"/>
          <w:szCs w:val="26"/>
        </w:rPr>
        <w:t xml:space="preserve"> района Чувашской Республики администрация </w:t>
      </w:r>
      <w:proofErr w:type="spellStart"/>
      <w:r w:rsidRPr="00DB7EED">
        <w:rPr>
          <w:sz w:val="26"/>
          <w:szCs w:val="26"/>
        </w:rPr>
        <w:t>Большеяльчикского</w:t>
      </w:r>
      <w:proofErr w:type="spellEnd"/>
      <w:r w:rsidRPr="00DB7EED">
        <w:rPr>
          <w:sz w:val="26"/>
          <w:szCs w:val="26"/>
        </w:rPr>
        <w:t xml:space="preserve"> сельского поселения </w:t>
      </w:r>
      <w:proofErr w:type="spellStart"/>
      <w:r w:rsidRPr="00DB7EED">
        <w:rPr>
          <w:sz w:val="26"/>
          <w:szCs w:val="26"/>
        </w:rPr>
        <w:t>Яльчикского</w:t>
      </w:r>
      <w:proofErr w:type="spellEnd"/>
      <w:r w:rsidRPr="00DB7EED">
        <w:rPr>
          <w:sz w:val="26"/>
          <w:szCs w:val="26"/>
        </w:rPr>
        <w:t xml:space="preserve"> района Чувашской Республики ПОСТАНОВЛЯЕТ:</w:t>
      </w:r>
    </w:p>
    <w:p w:rsidR="00DB7EED" w:rsidRDefault="0027340F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 xml:space="preserve">1. Муниципальную программу </w:t>
      </w:r>
      <w:r w:rsidR="00DB7EED" w:rsidRPr="00DB7EED">
        <w:rPr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 w:rsidR="00DB7EED" w:rsidRPr="00DB7EED">
        <w:rPr>
          <w:sz w:val="26"/>
          <w:szCs w:val="26"/>
        </w:rPr>
        <w:t>Большеяльчикского</w:t>
      </w:r>
      <w:proofErr w:type="spellEnd"/>
      <w:r w:rsidR="00DB7EED" w:rsidRPr="00DB7EED">
        <w:rPr>
          <w:sz w:val="26"/>
          <w:szCs w:val="26"/>
        </w:rPr>
        <w:t xml:space="preserve"> сельского поселения </w:t>
      </w:r>
      <w:proofErr w:type="spellStart"/>
      <w:r w:rsidR="00DB7EED" w:rsidRPr="00DB7EED">
        <w:rPr>
          <w:sz w:val="26"/>
          <w:szCs w:val="26"/>
        </w:rPr>
        <w:t>Яльчикского</w:t>
      </w:r>
      <w:proofErr w:type="spellEnd"/>
      <w:r w:rsidR="00DB7EED" w:rsidRPr="00DB7EED">
        <w:rPr>
          <w:sz w:val="26"/>
          <w:szCs w:val="26"/>
        </w:rPr>
        <w:t xml:space="preserve"> района Чувашской Республики </w:t>
      </w:r>
      <w:r w:rsidR="00C90ADE">
        <w:rPr>
          <w:sz w:val="26"/>
          <w:szCs w:val="26"/>
        </w:rPr>
        <w:t>на 2018-2022 годы», утвержденную</w:t>
      </w:r>
      <w:r w:rsidR="00DB7EED" w:rsidRPr="00DB7EED">
        <w:rPr>
          <w:sz w:val="26"/>
          <w:szCs w:val="26"/>
        </w:rPr>
        <w:t xml:space="preserve"> постановлением администрации </w:t>
      </w:r>
      <w:proofErr w:type="spellStart"/>
      <w:r w:rsidR="00DB7EED" w:rsidRPr="00DB7EED">
        <w:rPr>
          <w:sz w:val="26"/>
          <w:szCs w:val="26"/>
        </w:rPr>
        <w:t>Большеяльчикского</w:t>
      </w:r>
      <w:proofErr w:type="spellEnd"/>
      <w:r w:rsidR="00DB7EED" w:rsidRPr="00DB7EED">
        <w:rPr>
          <w:sz w:val="26"/>
          <w:szCs w:val="26"/>
        </w:rPr>
        <w:t xml:space="preserve"> сельского поселения </w:t>
      </w:r>
      <w:proofErr w:type="spellStart"/>
      <w:r w:rsidR="00DB7EED" w:rsidRPr="00DB7EED">
        <w:rPr>
          <w:sz w:val="26"/>
          <w:szCs w:val="26"/>
        </w:rPr>
        <w:t>Яльчикского</w:t>
      </w:r>
      <w:proofErr w:type="spellEnd"/>
      <w:r w:rsidR="00DB7EED" w:rsidRPr="00DB7EED">
        <w:rPr>
          <w:sz w:val="26"/>
          <w:szCs w:val="26"/>
        </w:rPr>
        <w:t xml:space="preserve"> района Чувашской Республики от 17.07.2018 № 32 </w:t>
      </w:r>
      <w:r w:rsidRPr="00DB7EED">
        <w:rPr>
          <w:sz w:val="26"/>
          <w:szCs w:val="26"/>
        </w:rPr>
        <w:t xml:space="preserve">изложить в новой редакции </w:t>
      </w:r>
      <w:r w:rsidR="00DB7EED" w:rsidRPr="00DB7EED">
        <w:rPr>
          <w:sz w:val="26"/>
          <w:szCs w:val="26"/>
        </w:rPr>
        <w:t>согласно приложению к настоящему постановлению.</w:t>
      </w: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Pr="00DB7EED">
        <w:rPr>
          <w:sz w:val="26"/>
          <w:szCs w:val="26"/>
        </w:rPr>
        <w:t>астоящее постановление вступает в силу со дня его официального опубликования.</w:t>
      </w: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DB7EE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DB7EED" w:rsidRDefault="00DB7EED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0A23AE" w:rsidRDefault="000A23AE" w:rsidP="00DB7EE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DB7EED">
        <w:rPr>
          <w:sz w:val="26"/>
          <w:szCs w:val="26"/>
        </w:rPr>
        <w:t xml:space="preserve">Глава </w:t>
      </w:r>
      <w:proofErr w:type="spellStart"/>
      <w:r w:rsidRPr="00DB7EED">
        <w:rPr>
          <w:sz w:val="26"/>
          <w:szCs w:val="26"/>
        </w:rPr>
        <w:t>Большеяльчикского</w:t>
      </w:r>
      <w:proofErr w:type="spellEnd"/>
      <w:r w:rsidRPr="00DB7EED">
        <w:rPr>
          <w:sz w:val="26"/>
          <w:szCs w:val="26"/>
        </w:rPr>
        <w:t xml:space="preserve"> </w:t>
      </w:r>
    </w:p>
    <w:p w:rsidR="00DB7EED" w:rsidRPr="00DB7EED" w:rsidRDefault="00DB7EED" w:rsidP="00DB7EED">
      <w:pPr>
        <w:pStyle w:val="a5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DB7EED">
        <w:rPr>
          <w:sz w:val="26"/>
          <w:szCs w:val="26"/>
        </w:rPr>
        <w:t>сельского</w:t>
      </w:r>
      <w:r w:rsidR="0027340F" w:rsidRPr="00DB7EED">
        <w:rPr>
          <w:sz w:val="26"/>
          <w:szCs w:val="26"/>
        </w:rPr>
        <w:t> </w:t>
      </w:r>
      <w:r w:rsidRPr="00DB7EED">
        <w:rPr>
          <w:sz w:val="26"/>
          <w:szCs w:val="26"/>
        </w:rPr>
        <w:t xml:space="preserve">поселения </w:t>
      </w:r>
    </w:p>
    <w:p w:rsidR="0000263C" w:rsidRPr="00A21F1C" w:rsidRDefault="00DB7EED" w:rsidP="00DB7EED">
      <w:pPr>
        <w:pStyle w:val="a5"/>
        <w:shd w:val="clear" w:color="auto" w:fill="FFFFFF"/>
        <w:spacing w:before="0" w:beforeAutospacing="0" w:after="0" w:afterAutospacing="0"/>
        <w:ind w:right="-427"/>
        <w:contextualSpacing/>
        <w:rPr>
          <w:sz w:val="26"/>
          <w:szCs w:val="26"/>
        </w:rPr>
      </w:pPr>
      <w:r w:rsidRPr="00DB7EED">
        <w:rPr>
          <w:sz w:val="26"/>
          <w:szCs w:val="26"/>
        </w:rPr>
        <w:t>Яльчикского района</w:t>
      </w:r>
      <w:r>
        <w:rPr>
          <w:sz w:val="26"/>
          <w:szCs w:val="26"/>
        </w:rPr>
        <w:t xml:space="preserve">                                                                                  В.З. Афанасьев</w:t>
      </w:r>
    </w:p>
    <w:p w:rsidR="0000263C" w:rsidRPr="00A21F1C" w:rsidRDefault="0000263C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263C" w:rsidRDefault="0000263C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4669" w:rsidRDefault="00024669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4669" w:rsidRDefault="00024669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B7EED" w:rsidRDefault="00DB7EED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B7EED" w:rsidRPr="00A21F1C" w:rsidRDefault="00DB7EED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Яльчикского района</w:t>
      </w: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E06E01" w:rsidRDefault="00734F5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26.03.2019г.  №9</w:t>
      </w:r>
      <w:r w:rsidR="00E06E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06E01" w:rsidRDefault="00E06E01" w:rsidP="00A21F1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7340F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00263C" w:rsidRPr="00A21F1C" w:rsidRDefault="009E251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БОЛЬШЕЯЛЬЧИКСКОГО СЕЛЬСКОГО ПОСЕЛЕНИЯ </w:t>
      </w:r>
      <w:r w:rsidR="0000263C" w:rsidRPr="00A21F1C">
        <w:rPr>
          <w:rFonts w:ascii="Times New Roman" w:hAnsi="Times New Roman" w:cs="Times New Roman"/>
          <w:sz w:val="26"/>
          <w:szCs w:val="26"/>
        </w:rPr>
        <w:t>ЯЛЬЧИКСКОГО РАЙОНА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="0000263C" w:rsidRPr="00A21F1C">
        <w:rPr>
          <w:rFonts w:ascii="Times New Roman" w:hAnsi="Times New Roman" w:cs="Times New Roman"/>
          <w:sz w:val="26"/>
          <w:szCs w:val="26"/>
        </w:rPr>
        <w:t>ЧУВАШСКОЙ РЕСПУБЛИКИ «ФОРМИРОВАНИЕ СОВРЕМЕННОЙ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="0000263C" w:rsidRPr="00A21F1C">
        <w:rPr>
          <w:rFonts w:ascii="Times New Roman" w:hAnsi="Times New Roman" w:cs="Times New Roman"/>
          <w:sz w:val="26"/>
          <w:szCs w:val="26"/>
        </w:rPr>
        <w:t>ГОРОДСКОЙ СРЕДЫ НА ТЕРРИТОРИИ БОЛЬШЕЯЛЬЧИКСКОГО СЕЛЬСКОГО ПОСЕЛЕНИЯ ЯЛЬЧИКСКОГО РАЙОНА ЧУВАШСКОЙ РЕСПУБЛИКИ»</w:t>
      </w:r>
      <w:r w:rsidR="00E54AD9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="0000263C" w:rsidRPr="00A21F1C">
        <w:rPr>
          <w:rFonts w:ascii="Times New Roman" w:hAnsi="Times New Roman" w:cs="Times New Roman"/>
          <w:sz w:val="26"/>
          <w:szCs w:val="26"/>
        </w:rPr>
        <w:t>НА 2018 - 2024 ГОДЫ</w:t>
      </w:r>
    </w:p>
    <w:p w:rsidR="0000263C" w:rsidRPr="00A21F1C" w:rsidRDefault="0000263C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6E01" w:rsidRPr="00A21F1C" w:rsidRDefault="00E06E01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A21F1C">
        <w:rPr>
          <w:rFonts w:ascii="Times New Roman" w:hAnsi="Times New Roman" w:cs="Times New Roman"/>
          <w:sz w:val="26"/>
          <w:szCs w:val="26"/>
        </w:rPr>
        <w:lastRenderedPageBreak/>
        <w:t>П</w:t>
      </w:r>
      <w:proofErr w:type="gramEnd"/>
      <w:r w:rsidR="00E54AD9" w:rsidRPr="00A21F1C">
        <w:rPr>
          <w:rFonts w:ascii="Times New Roman" w:hAnsi="Times New Roman" w:cs="Times New Roman"/>
          <w:sz w:val="26"/>
          <w:szCs w:val="26"/>
        </w:rPr>
        <w:t xml:space="preserve"> А С П О Р Т</w:t>
      </w:r>
    </w:p>
    <w:p w:rsidR="00E54AD9" w:rsidRPr="00A21F1C" w:rsidRDefault="00E54AD9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«Формирование современной</w:t>
      </w:r>
    </w:p>
    <w:p w:rsidR="00E54AD9" w:rsidRPr="00A21F1C" w:rsidRDefault="00E54AD9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городской среды на территории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 на 2018 - 2024 годы</w:t>
      </w:r>
    </w:p>
    <w:p w:rsidR="00E54AD9" w:rsidRPr="00A21F1C" w:rsidRDefault="00E54AD9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06"/>
      </w:tblGrid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w:anchor="P775" w:history="1">
              <w:r w:rsidRPr="00A21F1C">
                <w:rPr>
                  <w:rFonts w:ascii="Times New Roman" w:hAnsi="Times New Roman" w:cs="Times New Roman"/>
                  <w:sz w:val="26"/>
                  <w:szCs w:val="26"/>
                </w:rPr>
                <w:t>Благоустройство дворовых и общественных территорий</w:t>
              </w:r>
            </w:hyperlink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системного повышения качества и комфорта городской среды на всей территории </w:t>
            </w:r>
            <w:proofErr w:type="spellStart"/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путем реализации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2018 - 2024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годов комплекса мероприятий по благоустройству территорий </w:t>
            </w:r>
          </w:p>
          <w:p w:rsidR="00EA6002" w:rsidRPr="00A21F1C" w:rsidRDefault="00EA6002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</w:t>
            </w:r>
            <w:r w:rsidR="00070F1B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00263C" w:rsidRPr="00024669" w:rsidRDefault="0002466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</w:t>
            </w:r>
            <w:proofErr w:type="spellStart"/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проектов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A21F1C" w:rsidRDefault="00EA6002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2018 - 2024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21F1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024669" w:rsidRDefault="00E54AD9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024669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EA6002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024669" w:rsidRDefault="00E54AD9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024669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54AD9" w:rsidRPr="00024669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прогнозируемые объемы финансирования мероприятий </w:t>
            </w:r>
            <w:r w:rsidR="00E54AD9" w:rsidRPr="00024669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в 2018 - 2024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составляют </w:t>
            </w:r>
            <w:r w:rsidR="00024669" w:rsidRPr="00024669">
              <w:rPr>
                <w:rFonts w:ascii="Times New Roman" w:hAnsi="Times New Roman" w:cs="Times New Roman"/>
                <w:sz w:val="26"/>
                <w:szCs w:val="26"/>
              </w:rPr>
              <w:t>595,7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2018 году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669" w:rsidRPr="0002466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348,7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151,9 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2021 году – 95,1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00263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бюджета Яльчикского района Чувашской Республики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669" w:rsidRPr="00024669">
              <w:rPr>
                <w:rFonts w:ascii="Times New Roman" w:hAnsi="Times New Roman" w:cs="Times New Roman"/>
                <w:sz w:val="26"/>
                <w:szCs w:val="26"/>
              </w:rPr>
              <w:t>595,7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ублей (100,0 процентов</w:t>
            </w:r>
            <w:r w:rsidR="0000263C" w:rsidRPr="00024669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24669" w:rsidRPr="0002466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2019 году – 348,7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2020 году – 151,9 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2021 году – 95,1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A21F1C" w:rsidRPr="00024669" w:rsidRDefault="00A21F1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рублей.</w:t>
            </w:r>
          </w:p>
          <w:p w:rsidR="0000263C" w:rsidRPr="00024669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уточняются при формировании бюджета </w:t>
            </w:r>
            <w:r w:rsidR="00A21F1C" w:rsidRPr="00024669">
              <w:rPr>
                <w:rFonts w:ascii="Times New Roman" w:hAnsi="Times New Roman" w:cs="Times New Roman"/>
                <w:sz w:val="26"/>
                <w:szCs w:val="26"/>
              </w:rPr>
              <w:t xml:space="preserve">Яльчикского района </w:t>
            </w:r>
            <w:r w:rsidRPr="000246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на очередной финансовый год и плановый период</w:t>
            </w:r>
          </w:p>
        </w:tc>
      </w:tr>
      <w:tr w:rsidR="0000263C" w:rsidRPr="00A21F1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F1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результат реализации </w:t>
            </w:r>
            <w:r w:rsidR="00EA6002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 и мест массового о</w:t>
            </w:r>
            <w:r w:rsidR="00A21F1C" w:rsidRPr="00A21F1C">
              <w:rPr>
                <w:rFonts w:ascii="Times New Roman" w:hAnsi="Times New Roman" w:cs="Times New Roman"/>
                <w:sz w:val="26"/>
                <w:szCs w:val="26"/>
              </w:rPr>
              <w:t>тдыха населения.</w:t>
            </w:r>
          </w:p>
        </w:tc>
      </w:tr>
    </w:tbl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1F1C" w:rsidRPr="00A21F1C" w:rsidRDefault="00A21F1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>Раздел I. Характеристика текущего состояния</w:t>
      </w:r>
    </w:p>
    <w:p w:rsidR="0000263C" w:rsidRPr="00A21F1C" w:rsidRDefault="0000263C" w:rsidP="00A21F1C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F1C">
        <w:rPr>
          <w:rFonts w:ascii="Times New Roman" w:hAnsi="Times New Roman" w:cs="Times New Roman"/>
          <w:b/>
          <w:sz w:val="26"/>
          <w:szCs w:val="26"/>
        </w:rPr>
        <w:t xml:space="preserve">сферы благоустройства </w:t>
      </w:r>
      <w:proofErr w:type="spellStart"/>
      <w:r w:rsidR="00EA6002" w:rsidRPr="00A21F1C">
        <w:rPr>
          <w:rFonts w:ascii="Times New Roman" w:hAnsi="Times New Roman" w:cs="Times New Roman"/>
          <w:b/>
          <w:sz w:val="26"/>
          <w:szCs w:val="26"/>
        </w:rPr>
        <w:t>Большеяльчикского</w:t>
      </w:r>
      <w:proofErr w:type="spellEnd"/>
      <w:r w:rsidR="00EA6002" w:rsidRPr="00A21F1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="00EA6002" w:rsidRPr="00A21F1C">
        <w:rPr>
          <w:rFonts w:ascii="Times New Roman" w:hAnsi="Times New Roman" w:cs="Times New Roman"/>
          <w:b/>
          <w:sz w:val="26"/>
          <w:szCs w:val="26"/>
        </w:rPr>
        <w:t>Яльчикского</w:t>
      </w:r>
      <w:proofErr w:type="spellEnd"/>
      <w:r w:rsidR="00EA6002" w:rsidRPr="00A21F1C">
        <w:rPr>
          <w:rFonts w:ascii="Times New Roman" w:hAnsi="Times New Roman" w:cs="Times New Roman"/>
          <w:b/>
          <w:sz w:val="26"/>
          <w:szCs w:val="26"/>
        </w:rPr>
        <w:t xml:space="preserve"> района Чувашской Республики</w:t>
      </w:r>
      <w:r w:rsidRPr="00A21F1C">
        <w:rPr>
          <w:rFonts w:ascii="Times New Roman" w:hAnsi="Times New Roman" w:cs="Times New Roman"/>
          <w:b/>
          <w:sz w:val="26"/>
          <w:szCs w:val="26"/>
        </w:rPr>
        <w:t>, в том числе прогноз ее развития,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показатели и анализ социальных, </w:t>
      </w:r>
      <w:r w:rsidRPr="00A21F1C">
        <w:rPr>
          <w:rFonts w:ascii="Times New Roman" w:hAnsi="Times New Roman" w:cs="Times New Roman"/>
          <w:sz w:val="26"/>
          <w:szCs w:val="26"/>
        </w:rPr>
        <w:t>финансово-экономических рисков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1 января 20</w:t>
      </w:r>
      <w:r w:rsidR="00A21F1C" w:rsidRPr="00A21F1C">
        <w:rPr>
          <w:rFonts w:ascii="Times New Roman" w:hAnsi="Times New Roman" w:cs="Times New Roman"/>
          <w:sz w:val="26"/>
          <w:szCs w:val="26"/>
        </w:rPr>
        <w:t>19 года проживает 1515 человек.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Проведенный анализ текущего состояния сферы благоустройства позволяет сделать следующие выводы: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- количество и площадь муниципальных территорий общего пользования (парки, скверы, набережные) – 3 ед., общей площадью 0,8487 га;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- площадь благоустроенных общественных муниципальных территорий, приходящаяся на 1 жителя – 3,3 кв. м.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Муниципальная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программа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«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на </w:t>
      </w:r>
      <w:r w:rsidRPr="00A21F1C">
        <w:rPr>
          <w:rFonts w:ascii="Times New Roman" w:hAnsi="Times New Roman" w:cs="Times New Roman"/>
          <w:sz w:val="26"/>
          <w:szCs w:val="26"/>
        </w:rPr>
        <w:t>территории Чувашской Республики» на 2018 - 2024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годы (далее - </w:t>
      </w:r>
      <w:r w:rsidRPr="00A21F1C">
        <w:rPr>
          <w:rFonts w:ascii="Times New Roman" w:hAnsi="Times New Roman" w:cs="Times New Roman"/>
          <w:sz w:val="26"/>
          <w:szCs w:val="26"/>
        </w:rPr>
        <w:t>Муниципальная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</w:t>
      </w:r>
      <w:r w:rsidRPr="00A21F1C">
        <w:rPr>
          <w:rFonts w:ascii="Times New Roman" w:hAnsi="Times New Roman" w:cs="Times New Roman"/>
          <w:sz w:val="26"/>
          <w:szCs w:val="26"/>
        </w:rPr>
        <w:t>поселения</w:t>
      </w:r>
      <w:r w:rsidR="0000263C" w:rsidRPr="00A21F1C">
        <w:rPr>
          <w:rFonts w:ascii="Times New Roman" w:hAnsi="Times New Roman" w:cs="Times New Roman"/>
          <w:sz w:val="26"/>
          <w:szCs w:val="26"/>
        </w:rPr>
        <w:t>.</w:t>
      </w:r>
    </w:p>
    <w:p w:rsidR="00A21F1C" w:rsidRPr="00A21F1C" w:rsidRDefault="00A21F1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Раздел II. Приоритеты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политики</w:t>
      </w:r>
      <w:r w:rsidR="00A21F1C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программы, цель, задачи,</w:t>
      </w:r>
      <w:r w:rsidR="00A21F1C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целевые индикаторы и показатели, описание основных</w:t>
      </w:r>
      <w:r w:rsidR="00A21F1C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 xml:space="preserve">ожидаемых конечных результатов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программы,</w:t>
      </w:r>
      <w:r w:rsidR="00A21F1C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 xml:space="preserve">срока и этапов реализации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Приоритеты и цели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 xml:space="preserve">политики в сфере реализации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 определены:</w:t>
      </w:r>
    </w:p>
    <w:p w:rsidR="0000263C" w:rsidRPr="00A21F1C" w:rsidRDefault="00D5468E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0263C" w:rsidRPr="00A21F1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Президента Российс</w:t>
      </w:r>
      <w:r w:rsidR="00EA6002" w:rsidRPr="00A21F1C">
        <w:rPr>
          <w:rFonts w:ascii="Times New Roman" w:hAnsi="Times New Roman" w:cs="Times New Roman"/>
          <w:sz w:val="26"/>
          <w:szCs w:val="26"/>
        </w:rPr>
        <w:t>кой Федерации от 7 мая 2012 г. № 600 «</w:t>
      </w:r>
      <w:r w:rsidR="0000263C" w:rsidRPr="00A21F1C">
        <w:rPr>
          <w:rFonts w:ascii="Times New Roman" w:hAnsi="Times New Roman" w:cs="Times New Roman"/>
          <w:sz w:val="26"/>
          <w:szCs w:val="26"/>
        </w:rPr>
        <w:t>О мерах по обеспечению граждан Российской Федерации доступным и комфортным жильем и повышению качества жилищно-</w:t>
      </w:r>
      <w:r w:rsidR="00EA6002" w:rsidRPr="00A21F1C">
        <w:rPr>
          <w:rFonts w:ascii="Times New Roman" w:hAnsi="Times New Roman" w:cs="Times New Roman"/>
          <w:sz w:val="26"/>
          <w:szCs w:val="26"/>
        </w:rPr>
        <w:t>коммунальных услуг»</w:t>
      </w:r>
      <w:r w:rsidR="0000263C"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приоритетным проектом «</w:t>
      </w:r>
      <w:r w:rsidR="0000263C" w:rsidRPr="00A21F1C">
        <w:rPr>
          <w:rFonts w:ascii="Times New Roman" w:hAnsi="Times New Roman" w:cs="Times New Roman"/>
          <w:sz w:val="26"/>
          <w:szCs w:val="26"/>
        </w:rPr>
        <w:t>Формиров</w:t>
      </w:r>
      <w:r w:rsidRPr="00A21F1C">
        <w:rPr>
          <w:rFonts w:ascii="Times New Roman" w:hAnsi="Times New Roman" w:cs="Times New Roman"/>
          <w:sz w:val="26"/>
          <w:szCs w:val="26"/>
        </w:rPr>
        <w:t>ание комфортной городской среды»</w:t>
      </w:r>
      <w:r w:rsidR="0000263C" w:rsidRPr="00A21F1C">
        <w:rPr>
          <w:rFonts w:ascii="Times New Roman" w:hAnsi="Times New Roman" w:cs="Times New Roman"/>
          <w:sz w:val="26"/>
          <w:szCs w:val="26"/>
        </w:rPr>
        <w:t>, утвержденным протоколом заседания президиума Совета при Президенте Российской Федерации по стратегическому развитию и приоритетным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проектам от 21 ноября 2016 г. №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10;</w:t>
      </w:r>
    </w:p>
    <w:p w:rsidR="0000263C" w:rsidRDefault="00D5468E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00263C" w:rsidRPr="00A21F1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Правительства Российской Ф</w:t>
      </w:r>
      <w:r w:rsidR="00EA6002" w:rsidRPr="00A21F1C">
        <w:rPr>
          <w:rFonts w:ascii="Times New Roman" w:hAnsi="Times New Roman" w:cs="Times New Roman"/>
          <w:sz w:val="26"/>
          <w:szCs w:val="26"/>
        </w:rPr>
        <w:t>едерации от 10 февраля 2017 г. № 169 «</w:t>
      </w:r>
      <w:r w:rsidR="0000263C" w:rsidRPr="00A21F1C">
        <w:rPr>
          <w:rFonts w:ascii="Times New Roman" w:hAnsi="Times New Roman" w:cs="Times New Roman"/>
          <w:sz w:val="26"/>
          <w:szCs w:val="26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EA6002" w:rsidRPr="00A21F1C">
        <w:rPr>
          <w:rFonts w:ascii="Times New Roman" w:hAnsi="Times New Roman" w:cs="Times New Roman"/>
          <w:sz w:val="26"/>
          <w:szCs w:val="26"/>
        </w:rPr>
        <w:t>ния современной городской среды»</w:t>
      </w:r>
      <w:r w:rsidR="0000263C" w:rsidRPr="00A21F1C">
        <w:rPr>
          <w:rFonts w:ascii="Times New Roman" w:hAnsi="Times New Roman" w:cs="Times New Roman"/>
          <w:sz w:val="26"/>
          <w:szCs w:val="26"/>
        </w:rPr>
        <w:t>;</w:t>
      </w:r>
    </w:p>
    <w:p w:rsidR="00A21F1C" w:rsidRPr="00A21F1C" w:rsidRDefault="00A21F1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775E">
        <w:rPr>
          <w:rFonts w:ascii="Times New Roman" w:hAnsi="Times New Roman"/>
          <w:color w:val="000000"/>
          <w:sz w:val="26"/>
          <w:szCs w:val="26"/>
        </w:rPr>
        <w:t xml:space="preserve">Стратегией социально-экономического  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F6775E">
          <w:rPr>
            <w:rFonts w:ascii="Times New Roman" w:hAnsi="Times New Roman"/>
            <w:color w:val="000000"/>
            <w:sz w:val="26"/>
            <w:szCs w:val="26"/>
          </w:rPr>
          <w:t>2018 г</w:t>
        </w:r>
      </w:smartTag>
      <w:r w:rsidRPr="00F6775E">
        <w:rPr>
          <w:rFonts w:ascii="Times New Roman" w:hAnsi="Times New Roman"/>
          <w:color w:val="000000"/>
          <w:sz w:val="26"/>
          <w:szCs w:val="26"/>
        </w:rPr>
        <w:t>. № 254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21F1C" w:rsidRDefault="00A21F1C" w:rsidP="00A21F1C">
      <w:pPr>
        <w:pStyle w:val="ConsPlusNormal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201C38">
        <w:rPr>
          <w:rFonts w:ascii="Times New Roman" w:hAnsi="Times New Roman"/>
          <w:sz w:val="26"/>
          <w:szCs w:val="26"/>
        </w:rPr>
        <w:t>Стратегией Яльчикского района Чувашской Республики до 2035 года, утвержденной решением Собрания депутатов Яльчикского района Чувашской Республики от 18.02.2018 №32/2-с.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В целях ре</w:t>
      </w:r>
      <w:r w:rsidR="00EA6002" w:rsidRPr="00A21F1C">
        <w:rPr>
          <w:rFonts w:ascii="Times New Roman" w:hAnsi="Times New Roman" w:cs="Times New Roman"/>
          <w:sz w:val="26"/>
          <w:szCs w:val="26"/>
        </w:rPr>
        <w:t>ализации приоритетного проекта «</w:t>
      </w:r>
      <w:r w:rsidRPr="00A21F1C">
        <w:rPr>
          <w:rFonts w:ascii="Times New Roman" w:hAnsi="Times New Roman" w:cs="Times New Roman"/>
          <w:sz w:val="26"/>
          <w:szCs w:val="26"/>
        </w:rPr>
        <w:t>Формиров</w:t>
      </w:r>
      <w:r w:rsidR="00EA6002" w:rsidRPr="00A21F1C">
        <w:rPr>
          <w:rFonts w:ascii="Times New Roman" w:hAnsi="Times New Roman" w:cs="Times New Roman"/>
          <w:sz w:val="26"/>
          <w:szCs w:val="26"/>
        </w:rPr>
        <w:t>ание комфортной городской среды»</w:t>
      </w:r>
      <w:r w:rsidRPr="00A21F1C">
        <w:rPr>
          <w:rFonts w:ascii="Times New Roman" w:hAnsi="Times New Roman" w:cs="Times New Roman"/>
          <w:sz w:val="26"/>
          <w:szCs w:val="26"/>
        </w:rPr>
        <w:t xml:space="preserve"> разработаны мероприятия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 xml:space="preserve">программы, </w:t>
      </w:r>
      <w:r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направленные на формирование современной городской среды и обустройство мест массового отдыха населения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Pr="00A21F1C">
        <w:rPr>
          <w:rFonts w:ascii="Times New Roman" w:hAnsi="Times New Roman" w:cs="Times New Roman"/>
          <w:sz w:val="26"/>
          <w:szCs w:val="26"/>
        </w:rPr>
        <w:t>. Реализация программных мероприятий предусматривает активное участие граждан в формиро</w:t>
      </w:r>
      <w:r w:rsidR="00A21F1C">
        <w:rPr>
          <w:rFonts w:ascii="Times New Roman" w:hAnsi="Times New Roman" w:cs="Times New Roman"/>
          <w:sz w:val="26"/>
          <w:szCs w:val="26"/>
        </w:rPr>
        <w:t>вании и реализации 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21F1C">
        <w:rPr>
          <w:rFonts w:ascii="Times New Roman" w:hAnsi="Times New Roman" w:cs="Times New Roman"/>
          <w:sz w:val="26"/>
          <w:szCs w:val="26"/>
        </w:rPr>
        <w:t>ы</w:t>
      </w:r>
      <w:r w:rsidRPr="00A21F1C">
        <w:rPr>
          <w:rFonts w:ascii="Times New Roman" w:hAnsi="Times New Roman" w:cs="Times New Roman"/>
          <w:sz w:val="26"/>
          <w:szCs w:val="26"/>
        </w:rPr>
        <w:t>. На основе принципов, разработанных Министерством строительства и жилищно-коммунального хозяйства Российской Федерации, органы местного самоуправления поселений, в состав которых входят населенные пункты с численностью населения свыше 1000 человек,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должны быть предусмотрены и инструменты общественного контроля.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 xml:space="preserve">программы является создание условий для системного повышения качества и комфорта городской среды на всей территории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A6002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A6002"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путем реализации в период 2018 - 202</w:t>
      </w:r>
      <w:r w:rsidR="00EA6002" w:rsidRPr="00A21F1C">
        <w:rPr>
          <w:rFonts w:ascii="Times New Roman" w:hAnsi="Times New Roman" w:cs="Times New Roman"/>
          <w:sz w:val="26"/>
          <w:szCs w:val="26"/>
        </w:rPr>
        <w:t>4</w:t>
      </w:r>
      <w:r w:rsidRPr="00A21F1C">
        <w:rPr>
          <w:rFonts w:ascii="Times New Roman" w:hAnsi="Times New Roman" w:cs="Times New Roman"/>
          <w:sz w:val="26"/>
          <w:szCs w:val="26"/>
        </w:rPr>
        <w:t xml:space="preserve"> годов комплекса мероприятий по благоустройству территорий </w:t>
      </w:r>
      <w:r w:rsidR="00EA6002" w:rsidRPr="00A21F1C">
        <w:rPr>
          <w:rFonts w:ascii="Times New Roman" w:hAnsi="Times New Roman" w:cs="Times New Roman"/>
          <w:sz w:val="26"/>
          <w:szCs w:val="26"/>
        </w:rPr>
        <w:t>поселения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F1C">
        <w:rPr>
          <w:rFonts w:ascii="Times New Roman" w:hAnsi="Times New Roman" w:cs="Times New Roman"/>
          <w:sz w:val="26"/>
          <w:szCs w:val="26"/>
        </w:rPr>
        <w:t>повышение уровня благоустройства общественных территорий (площадей, набережных, улиц, пешеходных зон, скверов, парков, иных территорий);</w:t>
      </w:r>
      <w:proofErr w:type="gramEnd"/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повышение уровня вовлеченности заинтересованных граждан, организаций в реализацию мероприяти</w:t>
      </w:r>
      <w:r w:rsidR="00EA6002" w:rsidRPr="00A21F1C">
        <w:rPr>
          <w:rFonts w:ascii="Times New Roman" w:hAnsi="Times New Roman" w:cs="Times New Roman"/>
          <w:sz w:val="26"/>
          <w:szCs w:val="26"/>
        </w:rPr>
        <w:t>й по благоустройству территорий.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общественных территорий, м</w:t>
      </w:r>
      <w:r w:rsidR="00A21F1C">
        <w:rPr>
          <w:rFonts w:ascii="Times New Roman" w:hAnsi="Times New Roman" w:cs="Times New Roman"/>
          <w:sz w:val="26"/>
          <w:szCs w:val="26"/>
        </w:rPr>
        <w:t>ест массового отдыха населения.</w:t>
      </w:r>
    </w:p>
    <w:p w:rsidR="0000263C" w:rsidRPr="00A21F1C" w:rsidRDefault="00D5468E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281" w:history="1">
        <w:r w:rsidR="0000263C" w:rsidRPr="00A21F1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о целевых индикаторах и показателях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</w:t>
      </w:r>
      <w:r w:rsidR="00EA6002" w:rsidRPr="00A21F1C">
        <w:rPr>
          <w:rFonts w:ascii="Times New Roman" w:hAnsi="Times New Roman" w:cs="Times New Roman"/>
          <w:sz w:val="26"/>
          <w:szCs w:val="26"/>
        </w:rPr>
        <w:t>ограммы приведены в приложении №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1 к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>программе.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Достижение цели и решение задач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00263C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A21F1C">
        <w:rPr>
          <w:rFonts w:ascii="Times New Roman" w:hAnsi="Times New Roman" w:cs="Times New Roman"/>
          <w:sz w:val="26"/>
          <w:szCs w:val="26"/>
        </w:rPr>
        <w:t>рассчитана на период 2018 - 2024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годов. Реализация </w:t>
      </w: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>программы не предусматривает выделения отдельных этапов.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III. Обобщенная характеристика основных мероприятий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целях комплексного решения задач и достижения цели реализация </w:t>
      </w:r>
      <w:r w:rsidR="00EA6002" w:rsidRPr="004025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0255C">
        <w:rPr>
          <w:rFonts w:ascii="Times New Roman" w:hAnsi="Times New Roman" w:cs="Times New Roman"/>
          <w:sz w:val="26"/>
          <w:szCs w:val="26"/>
        </w:rPr>
        <w:t xml:space="preserve">программы будет осуществляться в </w:t>
      </w:r>
      <w:r w:rsidR="00A21F1C" w:rsidRPr="0040255C">
        <w:rPr>
          <w:rFonts w:ascii="Times New Roman" w:hAnsi="Times New Roman" w:cs="Times New Roman"/>
          <w:sz w:val="26"/>
          <w:szCs w:val="26"/>
        </w:rPr>
        <w:t>одной</w:t>
      </w:r>
      <w:r w:rsidRPr="0040255C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A21F1C" w:rsidRPr="0040255C">
        <w:rPr>
          <w:rFonts w:ascii="Times New Roman" w:hAnsi="Times New Roman" w:cs="Times New Roman"/>
          <w:sz w:val="26"/>
          <w:szCs w:val="26"/>
        </w:rPr>
        <w:t>ы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EA6002" w:rsidRPr="0040255C" w:rsidRDefault="00D5468E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775" w:history="1">
        <w:r w:rsidR="0000263C" w:rsidRPr="0040255C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EA6002" w:rsidRPr="0040255C">
        <w:rPr>
          <w:rFonts w:ascii="Times New Roman" w:hAnsi="Times New Roman" w:cs="Times New Roman"/>
          <w:sz w:val="26"/>
          <w:szCs w:val="26"/>
        </w:rPr>
        <w:t xml:space="preserve"> «</w:t>
      </w:r>
      <w:hyperlink w:anchor="P775" w:history="1">
        <w:r w:rsidR="00EA6002" w:rsidRPr="0040255C">
          <w:rPr>
            <w:rFonts w:ascii="Times New Roman" w:hAnsi="Times New Roman" w:cs="Times New Roman"/>
            <w:sz w:val="26"/>
            <w:szCs w:val="26"/>
          </w:rPr>
          <w:t>Благоустройство дворовых и общественных территорий</w:t>
        </w:r>
      </w:hyperlink>
      <w:r w:rsidR="00EA6002" w:rsidRPr="0040255C">
        <w:rPr>
          <w:rFonts w:ascii="Times New Roman" w:hAnsi="Times New Roman" w:cs="Times New Roman"/>
          <w:sz w:val="26"/>
          <w:szCs w:val="26"/>
        </w:rPr>
        <w:t>».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В рамках реализации подпрограммы предусмотрены основные мероприятия по поддержке муниципальных программ (субсидии бюджетам муниципальных образований на </w:t>
      </w:r>
      <w:proofErr w:type="spellStart"/>
      <w:r w:rsidRPr="0040255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40255C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по реализации муниципальных программ), включающие мероприятия по благоустройству общественных территорий муниципальных образований.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lastRenderedPageBreak/>
        <w:t xml:space="preserve">Основное мероприятие 1. </w:t>
      </w:r>
      <w:r w:rsidR="00F32583">
        <w:rPr>
          <w:rFonts w:ascii="Times New Roman" w:hAnsi="Times New Roman" w:cs="Times New Roman"/>
          <w:sz w:val="26"/>
          <w:szCs w:val="26"/>
        </w:rPr>
        <w:t>Реализация мероприятий регионального проекта «</w:t>
      </w:r>
      <w:r w:rsidRPr="0040255C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</w:t>
      </w:r>
      <w:r w:rsidR="00F32583">
        <w:rPr>
          <w:rFonts w:ascii="Times New Roman" w:hAnsi="Times New Roman" w:cs="Times New Roman"/>
          <w:sz w:val="26"/>
          <w:szCs w:val="26"/>
        </w:rPr>
        <w:t>»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>Основное мероприятие 2. Содействие благоустройству населен</w:t>
      </w:r>
      <w:r w:rsidR="00070F1B">
        <w:rPr>
          <w:rFonts w:ascii="Times New Roman" w:hAnsi="Times New Roman" w:cs="Times New Roman"/>
          <w:sz w:val="26"/>
          <w:szCs w:val="26"/>
        </w:rPr>
        <w:t>ного пункта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070F1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>Основное мероприятие 3. Вовлечение заинтересованных граждан, организаций в реализацию мероприятий по благоуст</w:t>
      </w:r>
      <w:r w:rsidR="0040255C" w:rsidRPr="0040255C">
        <w:rPr>
          <w:rFonts w:ascii="Times New Roman" w:hAnsi="Times New Roman" w:cs="Times New Roman"/>
          <w:sz w:val="26"/>
          <w:szCs w:val="26"/>
        </w:rPr>
        <w:t>ройству территорий муниципального образования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IV. Обоснование объема финансовых ресурсов,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21F1C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Финансовое обеспечение реализации </w:t>
      </w:r>
      <w:r w:rsidR="00EA6002" w:rsidRPr="004025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0255C">
        <w:rPr>
          <w:rFonts w:ascii="Times New Roman" w:hAnsi="Times New Roman" w:cs="Times New Roman"/>
          <w:sz w:val="26"/>
          <w:szCs w:val="26"/>
        </w:rPr>
        <w:t xml:space="preserve">программы осуществляется за счет средств, </w:t>
      </w:r>
      <w:r w:rsidR="0040255C" w:rsidRPr="0040255C">
        <w:rPr>
          <w:rFonts w:ascii="Times New Roman" w:hAnsi="Times New Roman" w:cs="Times New Roman"/>
          <w:sz w:val="26"/>
          <w:szCs w:val="26"/>
        </w:rPr>
        <w:t>бюджета Яльчикского района Чувашской Республики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40255C" w:rsidRPr="0040255C">
        <w:rPr>
          <w:rFonts w:ascii="Times New Roman" w:hAnsi="Times New Roman" w:cs="Times New Roman"/>
          <w:sz w:val="26"/>
          <w:szCs w:val="26"/>
        </w:rPr>
        <w:t>Муниципальной программы в 2018 - 2024</w:t>
      </w:r>
      <w:r w:rsidRPr="0040255C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40255C" w:rsidRPr="0040255C">
        <w:rPr>
          <w:rFonts w:ascii="Times New Roman" w:hAnsi="Times New Roman" w:cs="Times New Roman"/>
          <w:sz w:val="26"/>
          <w:szCs w:val="26"/>
        </w:rPr>
        <w:t>595,7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40255C" w:rsidRPr="0040255C">
        <w:rPr>
          <w:rFonts w:ascii="Times New Roman" w:hAnsi="Times New Roman" w:cs="Times New Roman"/>
          <w:sz w:val="26"/>
          <w:szCs w:val="26"/>
        </w:rPr>
        <w:t>–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0,0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40255C" w:rsidRPr="0040255C">
        <w:rPr>
          <w:rFonts w:ascii="Times New Roman" w:hAnsi="Times New Roman" w:cs="Times New Roman"/>
          <w:sz w:val="26"/>
          <w:szCs w:val="26"/>
        </w:rPr>
        <w:t>–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348,7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40255C" w:rsidRPr="0040255C">
        <w:rPr>
          <w:rFonts w:ascii="Times New Roman" w:hAnsi="Times New Roman" w:cs="Times New Roman"/>
          <w:sz w:val="26"/>
          <w:szCs w:val="26"/>
        </w:rPr>
        <w:t>–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151,9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40255C" w:rsidRPr="0040255C">
        <w:rPr>
          <w:rFonts w:ascii="Times New Roman" w:hAnsi="Times New Roman" w:cs="Times New Roman"/>
          <w:sz w:val="26"/>
          <w:szCs w:val="26"/>
        </w:rPr>
        <w:t>–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95,1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0255C" w:rsidRPr="0040255C" w:rsidRDefault="0040255C" w:rsidP="004025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>в 2022 году – 0,0 тыс. рублей;</w:t>
      </w:r>
    </w:p>
    <w:p w:rsidR="0040255C" w:rsidRPr="0040255C" w:rsidRDefault="0040255C" w:rsidP="004025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>в 2023 году – 0,0 тыс. рублей;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>в</w:t>
      </w:r>
      <w:r w:rsidR="0040255C" w:rsidRPr="0040255C">
        <w:rPr>
          <w:rFonts w:ascii="Times New Roman" w:hAnsi="Times New Roman" w:cs="Times New Roman"/>
          <w:sz w:val="26"/>
          <w:szCs w:val="26"/>
        </w:rPr>
        <w:t xml:space="preserve"> 2024 году – 0,</w:t>
      </w:r>
      <w:r w:rsidRPr="0040255C">
        <w:rPr>
          <w:rFonts w:ascii="Times New Roman" w:hAnsi="Times New Roman" w:cs="Times New Roman"/>
          <w:sz w:val="26"/>
          <w:szCs w:val="26"/>
        </w:rPr>
        <w:t>0 тыс. рублей.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40255C" w:rsidRPr="0040255C">
        <w:rPr>
          <w:rFonts w:ascii="Times New Roman" w:hAnsi="Times New Roman" w:cs="Times New Roman"/>
          <w:sz w:val="26"/>
          <w:szCs w:val="26"/>
        </w:rPr>
        <w:t>Муниципальной</w:t>
      </w:r>
      <w:r w:rsidRPr="0040255C">
        <w:rPr>
          <w:rFonts w:ascii="Times New Roman" w:hAnsi="Times New Roman" w:cs="Times New Roman"/>
          <w:sz w:val="26"/>
          <w:szCs w:val="26"/>
        </w:rPr>
        <w:t xml:space="preserve"> программы за счет средств </w:t>
      </w:r>
      <w:r w:rsidR="0040255C" w:rsidRPr="0040255C">
        <w:rPr>
          <w:rFonts w:ascii="Times New Roman" w:hAnsi="Times New Roman" w:cs="Times New Roman"/>
          <w:sz w:val="26"/>
          <w:szCs w:val="26"/>
        </w:rPr>
        <w:t>бюджета Яльчикского района Чувашской Республики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–</w:t>
      </w:r>
      <w:r w:rsidRP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40255C" w:rsidRPr="0040255C">
        <w:rPr>
          <w:rFonts w:ascii="Times New Roman" w:hAnsi="Times New Roman" w:cs="Times New Roman"/>
          <w:sz w:val="26"/>
          <w:szCs w:val="26"/>
        </w:rPr>
        <w:t>595,7</w:t>
      </w:r>
      <w:r w:rsidRPr="0040255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0255C"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40255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="0040255C" w:rsidRPr="004025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0255C">
        <w:rPr>
          <w:rFonts w:ascii="Times New Roman" w:hAnsi="Times New Roman" w:cs="Times New Roman"/>
          <w:sz w:val="26"/>
          <w:szCs w:val="26"/>
        </w:rPr>
        <w:t xml:space="preserve">программы подлежат ежегодному уточнению исходя из реальных возможностей </w:t>
      </w:r>
      <w:r w:rsidR="0040255C" w:rsidRPr="0040255C">
        <w:rPr>
          <w:rFonts w:ascii="Times New Roman" w:hAnsi="Times New Roman" w:cs="Times New Roman"/>
          <w:sz w:val="26"/>
          <w:szCs w:val="26"/>
        </w:rPr>
        <w:t>бюджета Яльчикского района Чувашской Республики</w:t>
      </w:r>
      <w:r w:rsidRP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55C"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w:anchor="P389" w:history="1">
        <w:r w:rsidRPr="0040255C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40255C">
        <w:rPr>
          <w:rFonts w:ascii="Times New Roman" w:hAnsi="Times New Roman" w:cs="Times New Roman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</w:t>
      </w:r>
      <w:r w:rsidR="0040255C" w:rsidRPr="004025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0255C">
        <w:rPr>
          <w:rFonts w:ascii="Times New Roman" w:hAnsi="Times New Roman" w:cs="Times New Roman"/>
          <w:sz w:val="26"/>
          <w:szCs w:val="26"/>
        </w:rPr>
        <w:t>пр</w:t>
      </w:r>
      <w:r w:rsidR="0040255C" w:rsidRPr="0040255C">
        <w:rPr>
          <w:rFonts w:ascii="Times New Roman" w:hAnsi="Times New Roman" w:cs="Times New Roman"/>
          <w:sz w:val="26"/>
          <w:szCs w:val="26"/>
        </w:rPr>
        <w:t>ограммы приведены в приложении №</w:t>
      </w:r>
      <w:r w:rsidRPr="0040255C">
        <w:rPr>
          <w:rFonts w:ascii="Times New Roman" w:hAnsi="Times New Roman" w:cs="Times New Roman"/>
          <w:sz w:val="26"/>
          <w:szCs w:val="26"/>
        </w:rPr>
        <w:t xml:space="preserve"> 2 к </w:t>
      </w:r>
      <w:r w:rsidR="0040255C" w:rsidRPr="004025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0255C">
        <w:rPr>
          <w:rFonts w:ascii="Times New Roman" w:hAnsi="Times New Roman" w:cs="Times New Roman"/>
          <w:sz w:val="26"/>
          <w:szCs w:val="26"/>
        </w:rPr>
        <w:t>программе.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EA6002" w:rsidP="00A21F1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V</w:t>
      </w:r>
      <w:r w:rsidR="0000263C" w:rsidRPr="00A21F1C">
        <w:rPr>
          <w:rFonts w:ascii="Times New Roman" w:hAnsi="Times New Roman" w:cs="Times New Roman"/>
          <w:sz w:val="26"/>
          <w:szCs w:val="26"/>
        </w:rPr>
        <w:t>. Обоснование выделения подпрограмм</w:t>
      </w:r>
    </w:p>
    <w:p w:rsidR="0000263C" w:rsidRPr="00A21F1C" w:rsidRDefault="00EA6002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Комплексный характер цели и задач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 обусловливает целесообразность использования программно-целевых методов управления для скоординированного достижения цели и решения задач как в целом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программы, так и ее подпрограмм.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 предусмотрена реализац</w:t>
      </w:r>
      <w:r w:rsidR="0040255C">
        <w:rPr>
          <w:rFonts w:ascii="Times New Roman" w:hAnsi="Times New Roman" w:cs="Times New Roman"/>
          <w:sz w:val="26"/>
          <w:szCs w:val="26"/>
        </w:rPr>
        <w:t xml:space="preserve">ия следующей </w:t>
      </w:r>
      <w:proofErr w:type="spellStart"/>
      <w:r w:rsidR="0040255C">
        <w:rPr>
          <w:rFonts w:ascii="Times New Roman" w:hAnsi="Times New Roman" w:cs="Times New Roman"/>
          <w:sz w:val="26"/>
          <w:szCs w:val="26"/>
        </w:rPr>
        <w:t>подпрограмы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>:</w:t>
      </w:r>
    </w:p>
    <w:p w:rsidR="0000263C" w:rsidRPr="00A21F1C" w:rsidRDefault="00EA6002" w:rsidP="004025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«</w:t>
      </w:r>
      <w:hyperlink w:anchor="P775" w:history="1">
        <w:r w:rsidR="0000263C" w:rsidRPr="00A21F1C">
          <w:rPr>
            <w:rFonts w:ascii="Times New Roman" w:hAnsi="Times New Roman" w:cs="Times New Roman"/>
            <w:sz w:val="26"/>
            <w:szCs w:val="26"/>
          </w:rPr>
          <w:t>Благоустройство дворовых и общественных территорий</w:t>
        </w:r>
      </w:hyperlink>
      <w:r w:rsidRPr="00A21F1C">
        <w:rPr>
          <w:rFonts w:ascii="Times New Roman" w:hAnsi="Times New Roman" w:cs="Times New Roman"/>
          <w:sz w:val="26"/>
          <w:szCs w:val="26"/>
        </w:rPr>
        <w:t>»</w:t>
      </w:r>
      <w:r w:rsidR="0040255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</w:t>
      </w:r>
      <w:r w:rsidR="0040255C">
        <w:rPr>
          <w:rFonts w:ascii="Times New Roman" w:hAnsi="Times New Roman" w:cs="Times New Roman"/>
          <w:sz w:val="26"/>
          <w:szCs w:val="26"/>
        </w:rPr>
        <w:t>одпрограмма имее</w:t>
      </w:r>
      <w:r w:rsidRPr="00A21F1C">
        <w:rPr>
          <w:rFonts w:ascii="Times New Roman" w:hAnsi="Times New Roman" w:cs="Times New Roman"/>
          <w:sz w:val="26"/>
          <w:szCs w:val="26"/>
        </w:rPr>
        <w:t xml:space="preserve">т собственную систему целевых ориентиров, согласующихся с целью и задачами </w:t>
      </w:r>
      <w:r w:rsidR="00EA6002" w:rsidRPr="00A21F1C">
        <w:rPr>
          <w:rFonts w:ascii="Times New Roman" w:hAnsi="Times New Roman" w:cs="Times New Roman"/>
          <w:sz w:val="26"/>
          <w:szCs w:val="26"/>
        </w:rPr>
        <w:t>М</w:t>
      </w:r>
      <w:r w:rsidR="0040255C">
        <w:rPr>
          <w:rFonts w:ascii="Times New Roman" w:hAnsi="Times New Roman" w:cs="Times New Roman"/>
          <w:sz w:val="26"/>
          <w:szCs w:val="26"/>
        </w:rPr>
        <w:t>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 и подкрепленных конкретными мероприятиями и целевыми индикаторами и показателями.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Цель и задачи </w:t>
      </w:r>
      <w:r w:rsidR="00EA6002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 не могут быть достигнуты без реализации комплекса мероприятий, предусмотренных в рамках соответствующих подпрограмм.</w:t>
      </w:r>
    </w:p>
    <w:p w:rsidR="0000263C" w:rsidRDefault="0040255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Подпрограмма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 «</w:t>
      </w:r>
      <w:hyperlink w:anchor="P775" w:history="1">
        <w:r w:rsidR="0000263C" w:rsidRPr="00A21F1C">
          <w:rPr>
            <w:rFonts w:ascii="Times New Roman" w:hAnsi="Times New Roman" w:cs="Times New Roman"/>
            <w:sz w:val="26"/>
            <w:szCs w:val="26"/>
          </w:rPr>
          <w:t>Благоустройство</w:t>
        </w:r>
      </w:hyperlink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дворовых и общественных территорий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приведены в приложении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 №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3 к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>программе.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EA6002" w:rsidP="0040255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V</w:t>
      </w:r>
      <w:r w:rsidR="0000263C" w:rsidRPr="00A21F1C">
        <w:rPr>
          <w:rFonts w:ascii="Times New Roman" w:hAnsi="Times New Roman" w:cs="Times New Roman"/>
          <w:sz w:val="26"/>
          <w:szCs w:val="26"/>
        </w:rPr>
        <w:t>I. Анализ рисков реализации</w:t>
      </w:r>
      <w:r w:rsidR="0040255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>программы и описание мер управления рисками</w:t>
      </w:r>
      <w:r w:rsidR="0040255C">
        <w:rPr>
          <w:rFonts w:ascii="Times New Roman" w:hAnsi="Times New Roman" w:cs="Times New Roman"/>
          <w:sz w:val="26"/>
          <w:szCs w:val="26"/>
        </w:rPr>
        <w:t xml:space="preserve"> 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>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 xml:space="preserve">программы рисками, оказывающими влияние на достижение цели и решения задач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программы,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а) бюджетные риски, связанные с дефицитом бюджетов разных уровней и невыполнением обязательств по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>программы, в том числе несоблюдением условий соглашений о предоставлении субсидий на соответствующие цели;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б) социальные риски, связанные с низкой социальной активностью населения, отсутствием традиции совместного благоустройства территорий, в том числе: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невостребованностью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среди граждан созданной в ходе реализации проектов по благоустройству инфраструктуры;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отрицательной оценкой гражданами реализованных проектов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в) управленческие (внутренние) риски, связанные с неэффективным управлением </w:t>
      </w:r>
      <w:r w:rsidR="00EA6002"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21F1C">
        <w:rPr>
          <w:rFonts w:ascii="Times New Roman" w:hAnsi="Times New Roman" w:cs="Times New Roman"/>
          <w:sz w:val="26"/>
          <w:szCs w:val="26"/>
        </w:rPr>
        <w:t xml:space="preserve">программой, низким качеством межведомственного взаимодействия, недостаточным </w:t>
      </w:r>
      <w:proofErr w:type="gramStart"/>
      <w:r w:rsidRPr="00A21F1C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реализацией мероприятий, в том числе: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отсутствием информации, необходимой для проведения оценки качества благоустройства населенных пунктов;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непринятием соответствующих федеральным методическим документам правил благоустройства территорий;</w:t>
      </w:r>
    </w:p>
    <w:p w:rsidR="00024669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недостаточно высоким уровнем качест</w:t>
      </w:r>
      <w:r w:rsidR="00024669">
        <w:rPr>
          <w:rFonts w:ascii="Times New Roman" w:hAnsi="Times New Roman" w:cs="Times New Roman"/>
          <w:sz w:val="26"/>
          <w:szCs w:val="26"/>
        </w:rPr>
        <w:t>ва проектов по благоустройству.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Мероприятия по предупреждению рисков: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активная работа по вовлечению граждан и организаций в реализацию проектов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00263C" w:rsidRPr="00A21F1C" w:rsidRDefault="00024669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в муниципальном образовании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получение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формирование библиотеки лучших практик по реализации проектов по благоустройству.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</w:t>
      </w: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программой, обеспечит </w:t>
      </w:r>
      <w:r w:rsidR="0000263C"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приоритетные направления </w:t>
      </w: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политики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0263C" w:rsidRPr="00A21F1C">
        <w:rPr>
          <w:rFonts w:ascii="Times New Roman" w:hAnsi="Times New Roman" w:cs="Times New Roman"/>
          <w:sz w:val="26"/>
          <w:szCs w:val="26"/>
        </w:rPr>
        <w:t>Чувашской Республики в области повышения уровня и качества жизни населения на всей территории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EA6002" w:rsidRPr="00A21F1C" w:rsidRDefault="00EA6002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EA6002" w:rsidRPr="00A21F1C" w:rsidSect="00EA60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169B" w:rsidRPr="00A21F1C" w:rsidRDefault="0012169B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 1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Яльчикского района Чувашской Республики</w:t>
      </w:r>
    </w:p>
    <w:p w:rsidR="00024669" w:rsidRDefault="0012169B" w:rsidP="0002466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«Формирован</w:t>
      </w:r>
      <w:r w:rsidR="00024669">
        <w:rPr>
          <w:rFonts w:ascii="Times New Roman" w:hAnsi="Times New Roman" w:cs="Times New Roman"/>
          <w:sz w:val="26"/>
          <w:szCs w:val="26"/>
        </w:rPr>
        <w:t xml:space="preserve">ие современной городской среды </w:t>
      </w:r>
    </w:p>
    <w:p w:rsidR="00024669" w:rsidRDefault="0012169B" w:rsidP="0002466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F1C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669" w:rsidRDefault="0012169B" w:rsidP="0002466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поселения Яльчикского района </w:t>
      </w:r>
      <w:proofErr w:type="gramStart"/>
      <w:r w:rsidRPr="00A21F1C">
        <w:rPr>
          <w:rFonts w:ascii="Times New Roman" w:hAnsi="Times New Roman" w:cs="Times New Roman"/>
          <w:sz w:val="26"/>
          <w:szCs w:val="26"/>
        </w:rPr>
        <w:t>Чувашской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69B" w:rsidRPr="00A21F1C" w:rsidRDefault="0012169B" w:rsidP="0002466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Республики»</w:t>
      </w:r>
      <w:r w:rsidR="00024669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на 2018 - 2024 годы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2169B" w:rsidRPr="00A21F1C" w:rsidRDefault="0012169B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169B" w:rsidRPr="00A21F1C" w:rsidRDefault="0012169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1"/>
      <w:bookmarkEnd w:id="1"/>
      <w:r w:rsidRPr="00A21F1C">
        <w:rPr>
          <w:rFonts w:ascii="Times New Roman" w:hAnsi="Times New Roman" w:cs="Times New Roman"/>
          <w:sz w:val="26"/>
          <w:szCs w:val="26"/>
        </w:rPr>
        <w:t>СВЕДЕНИЯ</w:t>
      </w:r>
    </w:p>
    <w:p w:rsidR="0012169B" w:rsidRPr="00A21F1C" w:rsidRDefault="0012169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 ЦЕЛЕВЫХ ИНДИКАТОРАХ И ПОКАЗАТЕЛЯХ</w:t>
      </w:r>
    </w:p>
    <w:p w:rsidR="0012169B" w:rsidRPr="00A21F1C" w:rsidRDefault="0012169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МУНИЦИПАЛЬНОЙ ПРОГРАММЫ БОЛЬШЕЯЛЬЧИКСКОГО СЕЛЬСКОГО ПОСЛЕНИЯ ЯЛЬЧИКСКОГО РАЙОНА ЧУВАШСКОЙ РЕСПУБЛИКИ «ФОРМИРОВАНИЕ СОВРЕМЕННОЙ ГОРОДСКОЙ СРЕДЫ НА ТЕРРИТОРИИ БОЛЬШЕЯЛЬЧИКСКОГО СЕЛЬСКОГО ПОСЛЕНИЯ ЯЛЬЧИКСКОГО РАЙОНА ЧУВАШСКОЙ РЕСПУБЛИКИ» НА 2018 - 2022 ГОДЫ, ПОДПРОГРАММ И ИХ ЗНАЧЕНИЯХ</w:t>
      </w:r>
    </w:p>
    <w:p w:rsidR="0012169B" w:rsidRPr="00A21F1C" w:rsidRDefault="0012169B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12169B" w:rsidRPr="00A21F1C" w:rsidRDefault="0012169B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4025"/>
        <w:gridCol w:w="1020"/>
        <w:gridCol w:w="604"/>
        <w:gridCol w:w="604"/>
        <w:gridCol w:w="604"/>
        <w:gridCol w:w="604"/>
        <w:gridCol w:w="604"/>
        <w:gridCol w:w="604"/>
        <w:gridCol w:w="583"/>
        <w:gridCol w:w="698"/>
        <w:gridCol w:w="11"/>
      </w:tblGrid>
      <w:tr w:rsidR="0012169B" w:rsidRPr="00A21F1C" w:rsidTr="00074888">
        <w:tc>
          <w:tcPr>
            <w:tcW w:w="388" w:type="dxa"/>
            <w:vMerge w:val="restart"/>
            <w:tcBorders>
              <w:lef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025" w:type="dxa"/>
            <w:vMerge w:val="restart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020" w:type="dxa"/>
            <w:vMerge w:val="restart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16" w:type="dxa"/>
            <w:gridSpan w:val="9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12169B" w:rsidRPr="00A21F1C" w:rsidTr="00074888">
        <w:trPr>
          <w:gridAfter w:val="1"/>
          <w:wAfter w:w="11" w:type="dxa"/>
        </w:trPr>
        <w:tc>
          <w:tcPr>
            <w:tcW w:w="388" w:type="dxa"/>
            <w:vMerge/>
            <w:tcBorders>
              <w:left w:val="nil"/>
            </w:tcBorders>
          </w:tcPr>
          <w:p w:rsidR="0012169B" w:rsidRPr="00A21F1C" w:rsidRDefault="0012169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5" w:type="dxa"/>
            <w:vMerge/>
          </w:tcPr>
          <w:p w:rsidR="0012169B" w:rsidRPr="00A21F1C" w:rsidRDefault="0012169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12169B" w:rsidRPr="00A21F1C" w:rsidRDefault="0012169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604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83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98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12169B" w:rsidRPr="00A21F1C" w:rsidTr="00074888">
        <w:trPr>
          <w:gridAfter w:val="1"/>
          <w:wAfter w:w="11" w:type="dxa"/>
        </w:trPr>
        <w:tc>
          <w:tcPr>
            <w:tcW w:w="388" w:type="dxa"/>
            <w:tcBorders>
              <w:lef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5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4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2169B" w:rsidRPr="00A21F1C" w:rsidTr="00074888">
        <w:trPr>
          <w:gridAfter w:val="1"/>
          <w:wAfter w:w="11" w:type="dxa"/>
        </w:trPr>
        <w:tc>
          <w:tcPr>
            <w:tcW w:w="10338" w:type="dxa"/>
            <w:gridSpan w:val="11"/>
            <w:tcBorders>
              <w:left w:val="nil"/>
              <w:righ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 «Формирование современной городской среды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Республики» на 2018 - 2024 годы</w:t>
            </w:r>
          </w:p>
        </w:tc>
      </w:tr>
      <w:tr w:rsidR="0012169B" w:rsidRPr="00A21F1C" w:rsidTr="00074888">
        <w:trPr>
          <w:gridAfter w:val="1"/>
          <w:wAfter w:w="11" w:type="dxa"/>
        </w:trPr>
        <w:tc>
          <w:tcPr>
            <w:tcW w:w="388" w:type="dxa"/>
            <w:tcBorders>
              <w:left w:val="nil"/>
            </w:tcBorders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025" w:type="dxa"/>
          </w:tcPr>
          <w:p w:rsidR="0012169B" w:rsidRPr="00A21F1C" w:rsidRDefault="0012169B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 проектов по благоустройству</w:t>
            </w:r>
          </w:p>
        </w:tc>
        <w:tc>
          <w:tcPr>
            <w:tcW w:w="1020" w:type="dxa"/>
          </w:tcPr>
          <w:p w:rsidR="0012169B" w:rsidRPr="00A21F1C" w:rsidRDefault="0012169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04" w:type="dxa"/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right w:val="nil"/>
            </w:tcBorders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right w:val="nil"/>
            </w:tcBorders>
          </w:tcPr>
          <w:p w:rsidR="0012169B" w:rsidRPr="00A21F1C" w:rsidRDefault="0002466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169B" w:rsidRPr="00A21F1C" w:rsidTr="00074888">
        <w:trPr>
          <w:gridAfter w:val="1"/>
          <w:wAfter w:w="11" w:type="dxa"/>
        </w:trPr>
        <w:tc>
          <w:tcPr>
            <w:tcW w:w="10338" w:type="dxa"/>
            <w:gridSpan w:val="11"/>
            <w:tcBorders>
              <w:left w:val="nil"/>
              <w:right w:val="nil"/>
            </w:tcBorders>
          </w:tcPr>
          <w:p w:rsidR="0012169B" w:rsidRPr="00A21F1C" w:rsidRDefault="00D5468E" w:rsidP="00A21F1C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75" w:history="1">
              <w:r w:rsidR="0012169B" w:rsidRPr="00A21F1C">
                <w:rPr>
                  <w:rFonts w:ascii="Times New Roman" w:hAnsi="Times New Roman" w:cs="Times New Roman"/>
                  <w:sz w:val="18"/>
                  <w:szCs w:val="18"/>
                </w:rPr>
                <w:t>Подпрограмма</w:t>
              </w:r>
            </w:hyperlink>
            <w:r w:rsidR="0012169B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«Благоустройство дворовых и общественных территорий»</w:t>
            </w:r>
          </w:p>
        </w:tc>
      </w:tr>
      <w:tr w:rsidR="00EF5F44" w:rsidRPr="00A21F1C" w:rsidTr="00074888">
        <w:trPr>
          <w:gridAfter w:val="1"/>
          <w:wAfter w:w="11" w:type="dxa"/>
        </w:trPr>
        <w:tc>
          <w:tcPr>
            <w:tcW w:w="388" w:type="dxa"/>
            <w:tcBorders>
              <w:lef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25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0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2169B" w:rsidRPr="00A21F1C" w:rsidRDefault="0012169B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169B" w:rsidRPr="00A21F1C" w:rsidRDefault="0012169B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169B" w:rsidRPr="00A21F1C" w:rsidRDefault="0012169B" w:rsidP="00A21F1C">
      <w:pPr>
        <w:spacing w:after="0"/>
        <w:contextualSpacing/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6002" w:rsidRPr="00A21F1C" w:rsidRDefault="00EA6002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A6002" w:rsidRPr="00A21F1C" w:rsidSect="00EA60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169B" w:rsidRPr="00A21F1C" w:rsidRDefault="0012169B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Яльчикского района Чувашской Республики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Яльчикского района Чувашской Республики»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на 2018 - 2024 годы</w:t>
      </w:r>
    </w:p>
    <w:p w:rsidR="0012169B" w:rsidRPr="00A21F1C" w:rsidRDefault="0012169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89"/>
      <w:bookmarkEnd w:id="2"/>
      <w:r w:rsidRPr="00A21F1C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И ПРОГНОЗНАЯ (СПРАВОЧНАЯ) ОЦЕНКА РАСХОДОВ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ЗА СЧЕТ ВСЕХ ИСТОЧНИКОВ ФИНАНСИРОВАНИЯ РЕАЛИЗАЦИИ</w:t>
      </w:r>
    </w:p>
    <w:p w:rsidR="0000263C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A21F1C">
        <w:rPr>
          <w:rFonts w:ascii="Times New Roman" w:hAnsi="Times New Roman" w:cs="Times New Roman"/>
          <w:sz w:val="26"/>
          <w:szCs w:val="26"/>
        </w:rPr>
        <w:t xml:space="preserve"> БОЛЬШЕЯЛЬЧИКСКОГО СЕЛЬСКОГО ПОСЕЛЕНИЯ ЯЛЬЧИКСКОГО РАЙОНА ЧУВАШСКОЙ РЕСПУБЛИКИ «</w:t>
      </w:r>
      <w:r w:rsidR="0000263C" w:rsidRPr="00A21F1C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НА ТЕРРИТОРИИ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БОЛЬШЕЯЛЬЧИКСКОГО СЕЛЬСКОГО ПОСЕЛЕНИЯ ЯЛЬЧИКСКОГО РАЙОНА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43C8B" w:rsidRPr="00A21F1C">
        <w:rPr>
          <w:rFonts w:ascii="Times New Roman" w:hAnsi="Times New Roman" w:cs="Times New Roman"/>
          <w:sz w:val="26"/>
          <w:szCs w:val="26"/>
        </w:rPr>
        <w:t>»</w:t>
      </w:r>
      <w:r w:rsidRPr="00A21F1C">
        <w:rPr>
          <w:rFonts w:ascii="Times New Roman" w:hAnsi="Times New Roman" w:cs="Times New Roman"/>
          <w:sz w:val="26"/>
          <w:szCs w:val="26"/>
        </w:rPr>
        <w:t xml:space="preserve"> НА 2018 - 202</w:t>
      </w:r>
      <w:r w:rsidR="00E43C8B" w:rsidRPr="00A21F1C">
        <w:rPr>
          <w:rFonts w:ascii="Times New Roman" w:hAnsi="Times New Roman" w:cs="Times New Roman"/>
          <w:sz w:val="26"/>
          <w:szCs w:val="26"/>
        </w:rPr>
        <w:t>4</w:t>
      </w:r>
      <w:r w:rsidRPr="00A21F1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43C8B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19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835"/>
        <w:gridCol w:w="1020"/>
        <w:gridCol w:w="1396"/>
        <w:gridCol w:w="1587"/>
        <w:gridCol w:w="1024"/>
        <w:gridCol w:w="1024"/>
        <w:gridCol w:w="1024"/>
        <w:gridCol w:w="1024"/>
        <w:gridCol w:w="1024"/>
        <w:gridCol w:w="1185"/>
        <w:gridCol w:w="15"/>
        <w:gridCol w:w="1217"/>
      </w:tblGrid>
      <w:tr w:rsidR="00A21F1C" w:rsidRPr="00A21F1C" w:rsidTr="00074888">
        <w:tc>
          <w:tcPr>
            <w:tcW w:w="1644" w:type="dxa"/>
            <w:vMerge w:val="restart"/>
            <w:tcBorders>
              <w:lef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 муниципальной программы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Республики, основного мероприятия)</w:t>
            </w:r>
          </w:p>
        </w:tc>
        <w:tc>
          <w:tcPr>
            <w:tcW w:w="2416" w:type="dxa"/>
            <w:gridSpan w:val="2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537" w:type="dxa"/>
            <w:gridSpan w:val="8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43C8B" w:rsidRPr="00A21F1C" w:rsidRDefault="00E43C8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43C8B" w:rsidRPr="00A21F1C" w:rsidRDefault="00E43C8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96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87" w:type="dxa"/>
            <w:vMerge/>
          </w:tcPr>
          <w:p w:rsidR="00E43C8B" w:rsidRPr="00A21F1C" w:rsidRDefault="00E43C8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4" w:type="dxa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85" w:type="dxa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A21F1C" w:rsidRPr="00A21F1C" w:rsidTr="00E43C8B">
        <w:tc>
          <w:tcPr>
            <w:tcW w:w="1644" w:type="dxa"/>
            <w:tcBorders>
              <w:lef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43C8B" w:rsidRPr="00A21F1C" w:rsidRDefault="00E43C8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21F1C" w:rsidRPr="00A21F1C" w:rsidTr="00E43C8B">
        <w:tc>
          <w:tcPr>
            <w:tcW w:w="1644" w:type="dxa"/>
            <w:vMerge w:val="restart"/>
            <w:tcBorders>
              <w:lef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2835" w:type="dxa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«Формирование современной городской среды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Республики» на 2018 - 2024 годы</w:t>
            </w: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E54AD9" w:rsidRPr="00A21F1C" w:rsidRDefault="00EF5F4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6C44EF" w:rsidRPr="00A21F1C" w:rsidRDefault="006C44EF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C44EF" w:rsidRPr="00A21F1C" w:rsidRDefault="006C44EF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6C44EF" w:rsidRPr="00A21F1C" w:rsidRDefault="006C44EF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6C44EF" w:rsidRPr="00A21F1C" w:rsidRDefault="006C44EF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6C44EF" w:rsidRPr="00A21F1C" w:rsidRDefault="006C44EF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6C44EF" w:rsidRPr="00A21F1C" w:rsidRDefault="006C44EF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C44EF" w:rsidRPr="00A21F1C" w:rsidRDefault="006C44EF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6C44EF" w:rsidRPr="00A21F1C" w:rsidRDefault="006C44EF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6C44EF" w:rsidRPr="00A21F1C" w:rsidRDefault="006C44EF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6C44EF" w:rsidRPr="00A21F1C" w:rsidRDefault="006C44EF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6C44EF" w:rsidRPr="00A21F1C" w:rsidRDefault="006C44EF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249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3C7249" w:rsidRPr="00A21F1C" w:rsidRDefault="003C7249" w:rsidP="003C724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C7249" w:rsidRDefault="003C7249" w:rsidP="003C7249">
            <w:pPr>
              <w:spacing w:after="0"/>
              <w:contextualSpacing/>
              <w:jc w:val="center"/>
            </w:pPr>
            <w:r w:rsidRPr="008409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C7249" w:rsidRDefault="003C7249" w:rsidP="003C7249">
            <w:pPr>
              <w:spacing w:after="0"/>
              <w:contextualSpacing/>
              <w:jc w:val="center"/>
            </w:pPr>
            <w:r w:rsidRPr="008409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C7249" w:rsidRDefault="003C7249" w:rsidP="003C7249">
            <w:pPr>
              <w:spacing w:after="0"/>
              <w:contextualSpacing/>
              <w:jc w:val="center"/>
            </w:pPr>
            <w:r w:rsidRPr="008409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249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3C7249" w:rsidRPr="00A21F1C" w:rsidRDefault="003C7249" w:rsidP="003C724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 w:val="restart"/>
            <w:tcBorders>
              <w:left w:val="nil"/>
            </w:tcBorders>
          </w:tcPr>
          <w:p w:rsidR="00E54AD9" w:rsidRPr="00A21F1C" w:rsidRDefault="00D5468E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75" w:history="1">
              <w:r w:rsidR="00E54AD9" w:rsidRPr="00A21F1C">
                <w:rPr>
                  <w:rFonts w:ascii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2835" w:type="dxa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«Благоустройство дворовых и общественных территорий»</w:t>
            </w: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E54AD9" w:rsidRPr="00A21F1C" w:rsidRDefault="00EF5F4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E251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E251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54AD9" w:rsidRPr="00A21F1C" w:rsidRDefault="003C724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54AD9" w:rsidRPr="00A21F1C" w:rsidRDefault="007F4EDF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bookmarkStart w:id="3" w:name="_GoBack"/>
            <w:bookmarkEnd w:id="3"/>
          </w:p>
        </w:tc>
        <w:tc>
          <w:tcPr>
            <w:tcW w:w="1587" w:type="dxa"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1024" w:type="dxa"/>
          </w:tcPr>
          <w:p w:rsidR="00E54AD9" w:rsidRPr="00A21F1C" w:rsidRDefault="00EF5F4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3C724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3C724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3C724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249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C7249" w:rsidRPr="00A21F1C" w:rsidRDefault="003C7249" w:rsidP="003C7249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396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А510000000</w:t>
            </w:r>
          </w:p>
        </w:tc>
        <w:tc>
          <w:tcPr>
            <w:tcW w:w="1587" w:type="dxa"/>
          </w:tcPr>
          <w:p w:rsidR="003C7249" w:rsidRPr="00A21F1C" w:rsidRDefault="003C7249" w:rsidP="003C724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3C7249" w:rsidRPr="00A21F1C" w:rsidRDefault="003C7249" w:rsidP="003C72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3C7249" w:rsidRPr="00A21F1C" w:rsidRDefault="003C7249" w:rsidP="003C7249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 w:val="restart"/>
            <w:tcBorders>
              <w:lef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E54AD9" w:rsidRPr="00A21F1C" w:rsidRDefault="003C724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«</w:t>
            </w:r>
            <w:r w:rsidR="00E54AD9" w:rsidRPr="00A21F1C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E54AD9" w:rsidRPr="00A21F1C" w:rsidRDefault="00EF5F4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E251B">
        <w:tc>
          <w:tcPr>
            <w:tcW w:w="1644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22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E251B" w:rsidRPr="00A21F1C" w:rsidRDefault="00ED382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396" w:type="dxa"/>
          </w:tcPr>
          <w:p w:rsidR="009E251B" w:rsidRPr="00ED3822" w:rsidRDefault="00ED382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587" w:type="dxa"/>
          </w:tcPr>
          <w:p w:rsidR="009E251B" w:rsidRPr="00A21F1C" w:rsidRDefault="00ED3822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E251B"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="009E251B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9E251B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9E251B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ED3822" w:rsidP="00A21F1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9E251B"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9E251B" w:rsidRPr="00A21F1C" w:rsidRDefault="009E251B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9E251B" w:rsidRPr="00A21F1C" w:rsidRDefault="009E251B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 w:val="restart"/>
            <w:tcBorders>
              <w:lef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благоустройству населенных пунктов </w:t>
            </w:r>
          </w:p>
        </w:tc>
        <w:tc>
          <w:tcPr>
            <w:tcW w:w="1020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E251B" w:rsidRPr="00A21F1C" w:rsidRDefault="009E251B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9E251B" w:rsidRPr="00A21F1C" w:rsidRDefault="009E251B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9E251B" w:rsidRPr="00A21F1C" w:rsidRDefault="009E251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22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Яльчикского района Чувашской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D3822" w:rsidRPr="00A21F1C" w:rsidRDefault="00ED3822" w:rsidP="00ED382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22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D3822" w:rsidRPr="00A21F1C" w:rsidRDefault="00ED3822" w:rsidP="00ED382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396" w:type="dxa"/>
          </w:tcPr>
          <w:p w:rsidR="00ED3822" w:rsidRPr="00A21F1C" w:rsidRDefault="0091288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А510200000</w:t>
            </w:r>
          </w:p>
        </w:tc>
        <w:tc>
          <w:tcPr>
            <w:tcW w:w="1587" w:type="dxa"/>
          </w:tcPr>
          <w:p w:rsidR="00ED3822" w:rsidRPr="00A21F1C" w:rsidRDefault="00912882" w:rsidP="00E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D3822"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="00ED3822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ED3822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ED3822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1024" w:type="dxa"/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24" w:type="dxa"/>
            <w:tcBorders>
              <w:right w:val="nil"/>
            </w:tcBorders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D3822" w:rsidRPr="00A21F1C" w:rsidRDefault="00ED3822" w:rsidP="00ED38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 w:val="restart"/>
            <w:tcBorders>
              <w:lef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заинтересованных граждан, организаций в реализацию мероприятий по благоустройству территорий </w:t>
            </w: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5F44" w:rsidRPr="00A21F1C" w:rsidTr="00E43C8B">
        <w:tc>
          <w:tcPr>
            <w:tcW w:w="1644" w:type="dxa"/>
            <w:vMerge/>
            <w:tcBorders>
              <w:left w:val="nil"/>
            </w:tcBorders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F5F44" w:rsidRPr="00A21F1C" w:rsidRDefault="00EF5F44" w:rsidP="00EF5F4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7" w:type="dxa"/>
          </w:tcPr>
          <w:p w:rsidR="00EF5F44" w:rsidRPr="00A21F1C" w:rsidRDefault="00EF5F44" w:rsidP="00EF5F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0" w:type="dxa"/>
            <w:gridSpan w:val="2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right w:val="nil"/>
            </w:tcBorders>
          </w:tcPr>
          <w:p w:rsidR="00EF5F44" w:rsidRPr="00A21F1C" w:rsidRDefault="00EF5F44" w:rsidP="00EF5F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0263C" w:rsidRPr="00A21F1C" w:rsidRDefault="0000263C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  <w:sectPr w:rsidR="0000263C" w:rsidRPr="00A21F1C" w:rsidSect="00EA600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3C8B" w:rsidRPr="00A21F1C" w:rsidRDefault="003D6D60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Яльчикского района Чувашской Республики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сельского поселения Яльчикского района </w:t>
      </w:r>
    </w:p>
    <w:p w:rsidR="00E43C8B" w:rsidRPr="00A21F1C" w:rsidRDefault="00E43C8B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Чувашской Республики» на 2018 - 2024 годы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3C8B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775"/>
      <w:bookmarkEnd w:id="4"/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О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Д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ПР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О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Г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Р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А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М</w:t>
      </w:r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7340F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А</w:t>
      </w:r>
    </w:p>
    <w:p w:rsidR="0000263C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«</w:t>
      </w:r>
      <w:r w:rsidR="0000263C" w:rsidRPr="00A21F1C"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</w:t>
      </w:r>
      <w:r w:rsidRPr="00A21F1C">
        <w:rPr>
          <w:rFonts w:ascii="Times New Roman" w:hAnsi="Times New Roman" w:cs="Times New Roman"/>
          <w:sz w:val="26"/>
          <w:szCs w:val="26"/>
        </w:rPr>
        <w:t>»</w:t>
      </w:r>
    </w:p>
    <w:p w:rsidR="00E43C8B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МУНИЦИПАЛЬНОЙ ПРОГРАММЫ БОЛЬШЕЯЛЬЧИКСКОГО СЕЛЬСКОГО ПОСЕЛЕНИЯ ЯЛЬЧИКСКОГО РАЙОНА ЧУВАШСКОЙ РЕСПУБЛИКИ «ФОРМИРОВАНИЕ СОВРЕМЕННОЙ ГОРОДСКОЙ СРЕДЫ НА ТЕРРИТОРИИ БОЛЬШЕЯЛЬЧИКСКОГО СЕЛЬСКОГО ПОСЕЛЕНИЯ ЯЛЬЧИКСКОГО РАЙОНА</w:t>
      </w:r>
    </w:p>
    <w:p w:rsidR="00E43C8B" w:rsidRPr="00A21F1C" w:rsidRDefault="00E43C8B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ЧУВАШСКОЙ РЕСПУБЛИКИ» НА 2018 - 2024 ГОДЫ</w:t>
      </w:r>
    </w:p>
    <w:p w:rsidR="0000263C" w:rsidRPr="00A21F1C" w:rsidRDefault="0000263C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27340F" w:rsidRDefault="0027340F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7340F">
        <w:rPr>
          <w:rFonts w:ascii="Times New Roman" w:hAnsi="Times New Roman" w:cs="Times New Roman"/>
          <w:b w:val="0"/>
          <w:sz w:val="26"/>
          <w:szCs w:val="26"/>
        </w:rPr>
        <w:t xml:space="preserve">П А С П О Р Т  П О Д П Р О Г Р А М </w:t>
      </w:r>
      <w:proofErr w:type="spellStart"/>
      <w:proofErr w:type="gramStart"/>
      <w:r w:rsidRPr="0027340F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proofErr w:type="gramEnd"/>
      <w:r w:rsidRPr="0027340F">
        <w:rPr>
          <w:rFonts w:ascii="Times New Roman" w:hAnsi="Times New Roman" w:cs="Times New Roman"/>
          <w:b w:val="0"/>
          <w:sz w:val="26"/>
          <w:szCs w:val="26"/>
        </w:rPr>
        <w:t xml:space="preserve"> Ы 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06"/>
      </w:tblGrid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74888" w:rsidRPr="00A21F1C" w:rsidRDefault="00074888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и комфорта городской среды на территории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комфортной городской среды для жителей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благоустройства территорий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улучшение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эстетического облика населенного пункта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вовлеченности заинтересованных граждан, организаций в реализацию мероприятий по благоустройству территорий 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A21F1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74888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к 2025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</w:t>
            </w:r>
            <w:r w:rsidR="00536A47" w:rsidRPr="00A21F1C">
              <w:rPr>
                <w:rFonts w:ascii="Times New Roman" w:hAnsi="Times New Roman" w:cs="Times New Roman"/>
                <w:sz w:val="26"/>
                <w:szCs w:val="26"/>
              </w:rPr>
              <w:t>ественных территорий не менее 1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6C44EF" w:rsidRPr="00A21F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населенных пун</w:t>
            </w:r>
            <w:r w:rsidR="006C44EF" w:rsidRPr="00A21F1C">
              <w:rPr>
                <w:rFonts w:ascii="Times New Roman" w:hAnsi="Times New Roman" w:cs="Times New Roman"/>
                <w:sz w:val="26"/>
                <w:szCs w:val="26"/>
              </w:rPr>
              <w:t>ктов муниципального образования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, улучшивших</w:t>
            </w:r>
            <w:r w:rsidR="00536A47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эстетический облик, не менее 1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6C44EF" w:rsidRPr="00A21F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граждан, организаций в выполнении мероприятий по благоустройству территорий не менее </w:t>
            </w:r>
            <w:r w:rsidR="00536A47" w:rsidRPr="00A21F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74888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2018 - 2024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21F1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в 2018 - 2022 годах составляет </w:t>
            </w:r>
            <w:r w:rsidR="00396D78">
              <w:rPr>
                <w:rFonts w:ascii="Times New Roman" w:hAnsi="Times New Roman" w:cs="Times New Roman"/>
                <w:sz w:val="26"/>
                <w:szCs w:val="26"/>
              </w:rPr>
              <w:t>595,7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</w:t>
            </w:r>
            <w:r w:rsidR="00536A47"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6D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348,7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151,9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00263C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бюджета Яльчикского района Чувашской Республики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6D78">
              <w:rPr>
                <w:rFonts w:ascii="Times New Roman" w:hAnsi="Times New Roman" w:cs="Times New Roman"/>
                <w:sz w:val="26"/>
                <w:szCs w:val="26"/>
              </w:rPr>
              <w:t>595,7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(100,0 процентов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396D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в 2019 году – 348,7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в 2020 году – 151,9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в 2021 году – 95,1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11823" w:rsidRPr="00A21F1C" w:rsidRDefault="00111823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E54AD9" w:rsidRPr="00A21F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подпрограммы уточняются при формировании бюджета </w:t>
            </w:r>
            <w:r w:rsidR="00111823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Яльчикского района Чувашской Республики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на очередной финансовый год и плановый период</w:t>
            </w:r>
          </w:p>
        </w:tc>
      </w:tr>
      <w:tr w:rsidR="0000263C" w:rsidRPr="00A21F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комфортных условий проживания для населения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Большеяльчикского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улучшение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эстетического облика населенного пункта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вовлечение заинтересованных граждан, организаций в реализацию мероприятий по благоуст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ройству территорий муниципального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074888" w:rsidRPr="00A21F1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823" w:rsidRPr="00A21F1C" w:rsidRDefault="00111823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823" w:rsidRPr="00A21F1C" w:rsidRDefault="00111823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823" w:rsidRPr="00A21F1C" w:rsidRDefault="00111823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823" w:rsidRPr="00A21F1C" w:rsidRDefault="00111823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823" w:rsidRPr="00A21F1C" w:rsidRDefault="00111823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>Раздел I. Характеристика сферы реализации подпрограммы,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описание основных проблем в указанной сфере</w:t>
      </w:r>
      <w:r w:rsidR="00E54AD9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и прогноз ее развития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Анализ сферы благоуст</w:t>
      </w:r>
      <w:r w:rsidR="00074888" w:rsidRPr="00A21F1C">
        <w:rPr>
          <w:rFonts w:ascii="Times New Roman" w:hAnsi="Times New Roman" w:cs="Times New Roman"/>
          <w:sz w:val="26"/>
          <w:szCs w:val="26"/>
        </w:rPr>
        <w:t>ройства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показал необходимость системного решения проблем благоустройства общественных территорий.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Для повышения уровня и качества жизни населения на всей территории</w:t>
      </w:r>
      <w:r w:rsidR="00074888" w:rsidRPr="00A2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 необходимо устранить основные системные проблемы: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недостаточное бюджетное финансирование благоустройства и озеленения населенных пунктов;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неудовлетворительное состояние асфальтобетонного покрытия на общественных территориях;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недостаточная обеспеченность жилой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неудовлетворительное состояние большого количества зеленых насаждений;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необходимость планомерного формирования экологической культуры населения.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Для решения данной проблемы требуются участие и взаимодействие органов местного самоуправления, населения, организаций, финансирование с привлечением источников всех уровней.</w:t>
      </w:r>
    </w:p>
    <w:p w:rsidR="00111823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рамках подпрограммы будут реализованы основные мероприятия, которые направлены на реализацию поставленных цели и задач подпрограммы и </w:t>
      </w:r>
      <w:r w:rsidR="00074888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074888" w:rsidRPr="00A21F1C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 на 2018 - 2024 годы </w:t>
      </w:r>
      <w:r w:rsidRPr="00A21F1C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074888" w:rsidRPr="00A21F1C">
        <w:rPr>
          <w:rFonts w:ascii="Times New Roman" w:hAnsi="Times New Roman" w:cs="Times New Roman"/>
          <w:sz w:val="26"/>
          <w:szCs w:val="26"/>
        </w:rPr>
        <w:t>Муниципальная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программа) в целом. Основные мероприятия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Раздел II. Приоритеты </w:t>
      </w:r>
      <w:r w:rsidR="00074888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политики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в сфере реализации подпрограммы, цель, задачи,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целевые индикаторы и показатели, описание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ожидаемых конечных результатов, </w:t>
      </w:r>
      <w:r w:rsidRPr="00A21F1C">
        <w:rPr>
          <w:rFonts w:ascii="Times New Roman" w:hAnsi="Times New Roman" w:cs="Times New Roman"/>
          <w:sz w:val="26"/>
          <w:szCs w:val="26"/>
        </w:rPr>
        <w:t>срока реализации подпрограммы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Приоритетами реализации подпрограммы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повышение уровня благоуст</w:t>
      </w:r>
      <w:r w:rsidR="00074888" w:rsidRPr="00A21F1C">
        <w:rPr>
          <w:rFonts w:ascii="Times New Roman" w:hAnsi="Times New Roman" w:cs="Times New Roman"/>
          <w:sz w:val="26"/>
          <w:szCs w:val="26"/>
        </w:rPr>
        <w:t>ройства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принятие (актуализация действующих) прав</w:t>
      </w:r>
      <w:r w:rsidR="00074888" w:rsidRPr="00A21F1C">
        <w:rPr>
          <w:rFonts w:ascii="Times New Roman" w:hAnsi="Times New Roman" w:cs="Times New Roman"/>
          <w:sz w:val="26"/>
          <w:szCs w:val="26"/>
        </w:rPr>
        <w:t>ил благоустройства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 xml:space="preserve">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реализация механизма поддержки мероприятий по благоустройству, инициированных гражданами;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формирование инструментов общественного контроля.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Целью подпрограммы является повышение качества и комфорта городской среды на территории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Задачами подпрограммы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формирование комфортной городской среды для жителей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создание условий для повышения благоустройства территорий</w:t>
      </w:r>
      <w:r w:rsidR="00074888" w:rsidRPr="00A21F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улучшение</w:t>
      </w:r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эстетического облика населенного пункта</w:t>
      </w:r>
      <w:r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повышение вовлеченности заинтересованных граждан, организаций в реализацию мероприятий по благоуст</w:t>
      </w:r>
      <w:r w:rsidR="00074888" w:rsidRPr="00A21F1C">
        <w:rPr>
          <w:rFonts w:ascii="Times New Roman" w:hAnsi="Times New Roman" w:cs="Times New Roman"/>
          <w:sz w:val="26"/>
          <w:szCs w:val="26"/>
        </w:rPr>
        <w:t>ройству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Реализация подпрогра</w:t>
      </w:r>
      <w:r w:rsidR="00074888" w:rsidRPr="00A21F1C">
        <w:rPr>
          <w:rFonts w:ascii="Times New Roman" w:hAnsi="Times New Roman" w:cs="Times New Roman"/>
          <w:sz w:val="26"/>
          <w:szCs w:val="26"/>
        </w:rPr>
        <w:t>ммы осуществляется в 2018 - 2024</w:t>
      </w:r>
      <w:r w:rsidRPr="00A21F1C">
        <w:rPr>
          <w:rFonts w:ascii="Times New Roman" w:hAnsi="Times New Roman" w:cs="Times New Roman"/>
          <w:sz w:val="26"/>
          <w:szCs w:val="26"/>
        </w:rPr>
        <w:t xml:space="preserve"> годах.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Основными целевыми индикаторами и показателями подпрограммы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количество благоустроенных общественных территорий не менее 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1 единицы </w:t>
      </w:r>
      <w:r w:rsidRPr="00A21F1C">
        <w:rPr>
          <w:rFonts w:ascii="Times New Roman" w:hAnsi="Times New Roman" w:cs="Times New Roman"/>
          <w:sz w:val="26"/>
          <w:szCs w:val="26"/>
        </w:rPr>
        <w:t>ежегодно;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количество населенных пунктов муниципальных образований, улучшивших эстетический облик, </w:t>
      </w:r>
      <w:r w:rsidR="00111823" w:rsidRPr="00A21F1C">
        <w:rPr>
          <w:rFonts w:ascii="Times New Roman" w:hAnsi="Times New Roman" w:cs="Times New Roman"/>
          <w:sz w:val="26"/>
          <w:szCs w:val="26"/>
        </w:rPr>
        <w:t>1</w:t>
      </w:r>
      <w:r w:rsidRPr="00A21F1C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111823" w:rsidRPr="00A21F1C">
        <w:rPr>
          <w:rFonts w:ascii="Times New Roman" w:hAnsi="Times New Roman" w:cs="Times New Roman"/>
          <w:sz w:val="26"/>
          <w:szCs w:val="26"/>
        </w:rPr>
        <w:t>а</w:t>
      </w:r>
      <w:r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доля финансового участия граждан, организаций в выполнении мероприятий по благоустройству территорий не менее </w:t>
      </w:r>
      <w:r w:rsidR="00111823" w:rsidRPr="00A21F1C">
        <w:rPr>
          <w:rFonts w:ascii="Times New Roman" w:hAnsi="Times New Roman" w:cs="Times New Roman"/>
          <w:sz w:val="26"/>
          <w:szCs w:val="26"/>
        </w:rPr>
        <w:t>5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Основными ожидаемыми результатами реализации подпрограммы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повышение уровня благоустройства общес</w:t>
      </w:r>
      <w:r w:rsidR="00074888" w:rsidRPr="00A21F1C">
        <w:rPr>
          <w:rFonts w:ascii="Times New Roman" w:hAnsi="Times New Roman" w:cs="Times New Roman"/>
          <w:sz w:val="26"/>
          <w:szCs w:val="26"/>
        </w:rPr>
        <w:t>твенных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создание комфортных условий проживания для населения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74888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улучшение</w:t>
      </w:r>
      <w:r w:rsidR="00074888" w:rsidRPr="00A21F1C">
        <w:rPr>
          <w:rFonts w:ascii="Times New Roman" w:hAnsi="Times New Roman" w:cs="Times New Roman"/>
          <w:sz w:val="26"/>
          <w:szCs w:val="26"/>
        </w:rPr>
        <w:t xml:space="preserve"> эстетического облика населенного пункта</w:t>
      </w:r>
      <w:r w:rsidRPr="00A21F1C">
        <w:rPr>
          <w:rFonts w:ascii="Times New Roman" w:hAnsi="Times New Roman" w:cs="Times New Roman"/>
          <w:sz w:val="26"/>
          <w:szCs w:val="26"/>
        </w:rPr>
        <w:t>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вовлечение заинтересованных граждан, организаций в реализацию мероприятий по благоуст</w:t>
      </w:r>
      <w:r w:rsidR="00074888" w:rsidRPr="00A21F1C">
        <w:rPr>
          <w:rFonts w:ascii="Times New Roman" w:hAnsi="Times New Roman" w:cs="Times New Roman"/>
          <w:sz w:val="26"/>
          <w:szCs w:val="26"/>
        </w:rPr>
        <w:t>ройству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 подпрограммы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Основные мероприятия подпрограммы направлены на реализацию поставленных цели и задач подпрограммы и </w:t>
      </w:r>
      <w:r w:rsidR="00074888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Подпрограмма содержит три основных мероприятия: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Основное мероприятие 1. </w:t>
      </w:r>
      <w:r w:rsidR="00BA651F">
        <w:rPr>
          <w:rFonts w:ascii="Times New Roman" w:hAnsi="Times New Roman" w:cs="Times New Roman"/>
          <w:sz w:val="26"/>
          <w:szCs w:val="26"/>
        </w:rPr>
        <w:t>Реализация мероприятий регионального проекта «</w:t>
      </w:r>
      <w:r w:rsidRPr="00A21F1C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</w:t>
      </w:r>
      <w:r w:rsidR="00BA651F">
        <w:rPr>
          <w:rFonts w:ascii="Times New Roman" w:hAnsi="Times New Roman" w:cs="Times New Roman"/>
          <w:sz w:val="26"/>
          <w:szCs w:val="26"/>
        </w:rPr>
        <w:t>»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результате реализации данного мероприятия количество благоустроенных общественных территорий </w:t>
      </w:r>
      <w:r w:rsidR="00111823" w:rsidRPr="00A21F1C">
        <w:rPr>
          <w:rFonts w:ascii="Times New Roman" w:hAnsi="Times New Roman" w:cs="Times New Roman"/>
          <w:sz w:val="26"/>
          <w:szCs w:val="26"/>
        </w:rPr>
        <w:t>составит не менее 1</w:t>
      </w:r>
      <w:r w:rsidRPr="00A21F1C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111823" w:rsidRPr="00A21F1C">
        <w:rPr>
          <w:rFonts w:ascii="Times New Roman" w:hAnsi="Times New Roman" w:cs="Times New Roman"/>
          <w:sz w:val="26"/>
          <w:szCs w:val="26"/>
        </w:rPr>
        <w:t>ы ежегодно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BA651F" w:rsidRPr="00A21F1C" w:rsidRDefault="00BA651F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1.1. Реализация программ формирования современной городской среды.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Основное мероприятие 2. Содей</w:t>
      </w:r>
      <w:r w:rsidR="00074888" w:rsidRPr="00A21F1C">
        <w:rPr>
          <w:rFonts w:ascii="Times New Roman" w:hAnsi="Times New Roman" w:cs="Times New Roman"/>
          <w:sz w:val="26"/>
          <w:szCs w:val="26"/>
        </w:rPr>
        <w:t>ствие благоустройству населенного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пунк</w:t>
      </w:r>
      <w:r w:rsidR="00074888" w:rsidRPr="00A21F1C">
        <w:rPr>
          <w:rFonts w:ascii="Times New Roman" w:hAnsi="Times New Roman" w:cs="Times New Roman"/>
          <w:sz w:val="26"/>
          <w:szCs w:val="26"/>
        </w:rPr>
        <w:t>та</w:t>
      </w:r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="00070F1B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00263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данного основного мероприятия подпрограммы оценивается количеством населенных пунктов муниципальных образований, </w:t>
      </w:r>
      <w:r w:rsidR="003D6D60" w:rsidRPr="00A21F1C">
        <w:rPr>
          <w:rFonts w:ascii="Times New Roman" w:hAnsi="Times New Roman" w:cs="Times New Roman"/>
          <w:sz w:val="26"/>
          <w:szCs w:val="26"/>
        </w:rPr>
        <w:t>улучшивших эстетический облик.</w:t>
      </w:r>
    </w:p>
    <w:p w:rsidR="00BA651F" w:rsidRDefault="00BA651F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2.1.Уличное освещение.</w:t>
      </w:r>
    </w:p>
    <w:p w:rsidR="00BA651F" w:rsidRDefault="00BA651F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2.2. Озеленение.</w:t>
      </w:r>
    </w:p>
    <w:p w:rsidR="00BA651F" w:rsidRPr="00A21F1C" w:rsidRDefault="00BA651F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2.3. Реали</w:t>
      </w:r>
      <w:r w:rsidR="00F32583">
        <w:rPr>
          <w:rFonts w:ascii="Times New Roman" w:hAnsi="Times New Roman" w:cs="Times New Roman"/>
          <w:sz w:val="26"/>
          <w:szCs w:val="26"/>
        </w:rPr>
        <w:t xml:space="preserve">зация </w:t>
      </w:r>
      <w:proofErr w:type="spellStart"/>
      <w:r w:rsidR="00F32583">
        <w:rPr>
          <w:rFonts w:ascii="Times New Roman" w:hAnsi="Times New Roman" w:cs="Times New Roman"/>
          <w:sz w:val="26"/>
          <w:szCs w:val="26"/>
        </w:rPr>
        <w:t>мероприятиц</w:t>
      </w:r>
      <w:proofErr w:type="spellEnd"/>
      <w:r w:rsidR="00F32583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территорий.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Основное мероприятие 3. Вовлечение заинтересованных граждан, организаций в реализацию мероприятий по благоуст</w:t>
      </w:r>
      <w:r w:rsidR="003D6D60" w:rsidRPr="00A21F1C">
        <w:rPr>
          <w:rFonts w:ascii="Times New Roman" w:hAnsi="Times New Roman" w:cs="Times New Roman"/>
          <w:sz w:val="26"/>
          <w:szCs w:val="26"/>
        </w:rPr>
        <w:t>ройству территорий муниципального образования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Реализация данного основного мероприятия подпрограммы оценивается долей финансового участия граждан, организаций в выполнении мероприятий по благоустройству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 территорий (не менее 5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процентов от общей численности населения населенного пункта муниципального образования).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IV. Характеристика основных мероприятий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Подпрограмма направлена на вовлечение органов местного самоуправления муниципальных образований в непосредственную работу по реализации на территории Чувашской Ре</w:t>
      </w:r>
      <w:r w:rsidR="003D6D60" w:rsidRPr="00A21F1C">
        <w:rPr>
          <w:rFonts w:ascii="Times New Roman" w:hAnsi="Times New Roman" w:cs="Times New Roman"/>
          <w:sz w:val="26"/>
          <w:szCs w:val="26"/>
        </w:rPr>
        <w:t>спублики приоритетного проекта «</w:t>
      </w:r>
      <w:r w:rsidRPr="00A21F1C">
        <w:rPr>
          <w:rFonts w:ascii="Times New Roman" w:hAnsi="Times New Roman" w:cs="Times New Roman"/>
          <w:sz w:val="26"/>
          <w:szCs w:val="26"/>
        </w:rPr>
        <w:t>Формиров</w:t>
      </w:r>
      <w:r w:rsidR="003D6D60" w:rsidRPr="00A21F1C">
        <w:rPr>
          <w:rFonts w:ascii="Times New Roman" w:hAnsi="Times New Roman" w:cs="Times New Roman"/>
          <w:sz w:val="26"/>
          <w:szCs w:val="26"/>
        </w:rPr>
        <w:t>ание комфортной городской среды»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 рамках реализации подпрограммы </w:t>
      </w:r>
      <w:r w:rsidR="00111823" w:rsidRPr="00A21F1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111823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111823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111823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11823" w:rsidRPr="00A21F1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планируется осуществление мероприятий по благоустройству общественных территорий, в том числе мероприятий, направленных на формирование доступной городской среды для маломобильных групп населения.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V. Обоснование объема финансовых ресурсов,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21F1C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для реализации подпрограммы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Финансирование подпрограммы осуществляется за счет средств </w:t>
      </w:r>
      <w:r w:rsidR="00111823" w:rsidRPr="00A21F1C">
        <w:rPr>
          <w:rFonts w:ascii="Times New Roman" w:hAnsi="Times New Roman" w:cs="Times New Roman"/>
          <w:sz w:val="26"/>
          <w:szCs w:val="26"/>
        </w:rPr>
        <w:t>бюджета Яльчикского района Чувашской Республики</w:t>
      </w:r>
      <w:r w:rsidRPr="00A21F1C">
        <w:rPr>
          <w:rFonts w:ascii="Times New Roman" w:hAnsi="Times New Roman" w:cs="Times New Roman"/>
          <w:sz w:val="26"/>
          <w:szCs w:val="26"/>
        </w:rPr>
        <w:t>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Общий объем финансиро</w:t>
      </w:r>
      <w:r w:rsidR="00CA418E" w:rsidRPr="00A21F1C">
        <w:rPr>
          <w:rFonts w:ascii="Times New Roman" w:hAnsi="Times New Roman" w:cs="Times New Roman"/>
          <w:sz w:val="26"/>
          <w:szCs w:val="26"/>
        </w:rPr>
        <w:t>вания подпрограммы в 2018 - 2024</w:t>
      </w:r>
      <w:r w:rsidRPr="00A21F1C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27340F">
        <w:rPr>
          <w:rFonts w:ascii="Times New Roman" w:hAnsi="Times New Roman" w:cs="Times New Roman"/>
          <w:sz w:val="26"/>
          <w:szCs w:val="26"/>
        </w:rPr>
        <w:t>595,7</w:t>
      </w:r>
      <w:r w:rsidRPr="00A21F1C">
        <w:rPr>
          <w:rFonts w:ascii="Times New Roman" w:hAnsi="Times New Roman" w:cs="Times New Roman"/>
          <w:sz w:val="26"/>
          <w:szCs w:val="26"/>
        </w:rPr>
        <w:t xml:space="preserve"> тыс. рублей, в том числе средства:</w:t>
      </w:r>
    </w:p>
    <w:p w:rsidR="0000263C" w:rsidRPr="00A21F1C" w:rsidRDefault="00CA418E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бюджета Яльчикского района Чувашской Республики –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="0027340F">
        <w:rPr>
          <w:rFonts w:ascii="Times New Roman" w:hAnsi="Times New Roman" w:cs="Times New Roman"/>
          <w:sz w:val="26"/>
          <w:szCs w:val="26"/>
        </w:rPr>
        <w:t>595,7</w:t>
      </w:r>
      <w:r w:rsidRPr="00A21F1C">
        <w:rPr>
          <w:rFonts w:ascii="Times New Roman" w:hAnsi="Times New Roman" w:cs="Times New Roman"/>
          <w:sz w:val="26"/>
          <w:szCs w:val="26"/>
        </w:rPr>
        <w:t xml:space="preserve"> тыс. рублей (100,0 процентов).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При составлении проекта </w:t>
      </w:r>
      <w:r w:rsidR="00CA418E" w:rsidRPr="00A21F1C">
        <w:rPr>
          <w:rFonts w:ascii="Times New Roman" w:hAnsi="Times New Roman" w:cs="Times New Roman"/>
          <w:sz w:val="26"/>
          <w:szCs w:val="26"/>
        </w:rPr>
        <w:t xml:space="preserve">бюджета Яльчикского района Чувашской Республики </w:t>
      </w:r>
      <w:r w:rsidRPr="00A21F1C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w:anchor="P1195" w:history="1">
        <w:r w:rsidRPr="00A21F1C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A21F1C">
        <w:rPr>
          <w:rFonts w:ascii="Times New Roman" w:hAnsi="Times New Roman" w:cs="Times New Roman"/>
          <w:sz w:val="26"/>
          <w:szCs w:val="26"/>
        </w:rPr>
        <w:t xml:space="preserve"> реализации подпрограммы за счет всех источников финансирования приведено</w:t>
      </w:r>
      <w:r w:rsidR="00CA418E" w:rsidRPr="00A21F1C">
        <w:rPr>
          <w:rFonts w:ascii="Times New Roman" w:hAnsi="Times New Roman" w:cs="Times New Roman"/>
          <w:sz w:val="26"/>
          <w:szCs w:val="26"/>
        </w:rPr>
        <w:t xml:space="preserve"> в приложении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="00CA418E" w:rsidRPr="00A21F1C">
        <w:rPr>
          <w:rFonts w:ascii="Times New Roman" w:hAnsi="Times New Roman" w:cs="Times New Roman"/>
          <w:sz w:val="26"/>
          <w:szCs w:val="26"/>
        </w:rPr>
        <w:t>№ 1</w:t>
      </w:r>
      <w:r w:rsidR="006C44EF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к настоящей подпрограмме.</w:t>
      </w:r>
    </w:p>
    <w:p w:rsidR="0000263C" w:rsidRPr="00A21F1C" w:rsidRDefault="00CA418E" w:rsidP="002734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00263C" w:rsidRPr="00A21F1C">
        <w:rPr>
          <w:rFonts w:ascii="Times New Roman" w:hAnsi="Times New Roman" w:cs="Times New Roman"/>
          <w:sz w:val="26"/>
          <w:szCs w:val="26"/>
        </w:rPr>
        <w:t>общественных территорий, нуждающихся в благоустройстве и подлежащих благ</w:t>
      </w:r>
      <w:r w:rsidRPr="00A21F1C">
        <w:rPr>
          <w:rFonts w:ascii="Times New Roman" w:hAnsi="Times New Roman" w:cs="Times New Roman"/>
          <w:sz w:val="26"/>
          <w:szCs w:val="26"/>
        </w:rPr>
        <w:t>оустройству в период 2018 - 2024 годов, приведен в приложении №</w:t>
      </w:r>
      <w:r w:rsidR="006C44EF" w:rsidRPr="00A21F1C">
        <w:rPr>
          <w:rFonts w:ascii="Times New Roman" w:hAnsi="Times New Roman" w:cs="Times New Roman"/>
          <w:sz w:val="26"/>
          <w:szCs w:val="26"/>
        </w:rPr>
        <w:t xml:space="preserve"> 2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к подпрограмме.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Раздел VI. Анализ рисков реализации подпрограммы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и описание мер управления рисками реализации подпрограммы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Рисками, оказывающими влияние на достижение цели и решение задач, в </w:t>
      </w:r>
      <w:r w:rsidRPr="00A21F1C">
        <w:rPr>
          <w:rFonts w:ascii="Times New Roman" w:hAnsi="Times New Roman" w:cs="Times New Roman"/>
          <w:sz w:val="26"/>
          <w:szCs w:val="26"/>
        </w:rPr>
        <w:lastRenderedPageBreak/>
        <w:t>рамках реализации подпрограммы являются: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а) бюджетные риски, связанные с дефицитом бюджетов разных уровней и невыполнением органами местного самоуправления муниципальных образований обязательств по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подпрограммы, в том числе несоблюдением условий соглашений о предоставлении субсидий на соответствующие цели;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б) социальные риски, связанные с низкой социальной активностью населения, отсутствием традиции совместного благоустройства территорий, в том числе: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невостребованностью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среди граждан созданной в ходе реализации проектов по благоустройству инфраструктуры;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отрицательной оценкой гражданами реализованных проектов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в) управленческие (внутренние) риски, связанные с неэффективным управлением настоящей подпрограммой, низким качеством межведомственного взаимодействия, недостаточным </w:t>
      </w:r>
      <w:proofErr w:type="gramStart"/>
      <w:r w:rsidRPr="00A21F1C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A21F1C">
        <w:rPr>
          <w:rFonts w:ascii="Times New Roman" w:hAnsi="Times New Roman" w:cs="Times New Roman"/>
          <w:sz w:val="26"/>
          <w:szCs w:val="26"/>
        </w:rPr>
        <w:t xml:space="preserve"> реализацией мероприятий, в том числе: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отсутствием информации, необходимой для проведения оценки качества среды населенных пунктов;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непринятием соответствующих федеральным методическим документам правил благоустройства территорий;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недостаточно высоким уровнем качества проектов </w:t>
      </w:r>
      <w:r w:rsidR="00070F1B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Мероприятия по предупреждению рисков: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активная работа и вовлечение граждан и организаций, которые могут стать инициаторами проектов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реализация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получение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формирование библиотеки лучших практик реализации проектов по благоустройству.</w:t>
      </w:r>
    </w:p>
    <w:p w:rsidR="0000263C" w:rsidRPr="00A21F1C" w:rsidRDefault="0000263C" w:rsidP="00A21F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Подпрограмма представляет собой управленческий инструмент, позволяющий в определенной степени решить указанные проблемы. Реализация комплекса задач, предусмотренных подпрограммой, обеспечит реализацию приоритетных направлений </w:t>
      </w:r>
      <w:r w:rsidR="003D6D60"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Pr="00A21F1C">
        <w:rPr>
          <w:rFonts w:ascii="Times New Roman" w:hAnsi="Times New Roman" w:cs="Times New Roman"/>
          <w:sz w:val="26"/>
          <w:szCs w:val="26"/>
        </w:rPr>
        <w:t xml:space="preserve"> политики </w:t>
      </w:r>
      <w:proofErr w:type="spellStart"/>
      <w:r w:rsidR="003D6D60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3D6D60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D6D60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D6D60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 xml:space="preserve">Чувашской Республики в области повышения уровня и качества жизни населения на всей территории </w:t>
      </w:r>
      <w:proofErr w:type="spellStart"/>
      <w:r w:rsidR="003D6D60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3D6D60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D6D60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D6D60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3D6D60" w:rsidRPr="00A21F1C" w:rsidRDefault="003D6D60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3D6D60" w:rsidRPr="00A21F1C" w:rsidSect="003D6D60">
          <w:pgSz w:w="11905" w:h="16838"/>
          <w:pgMar w:top="1134" w:right="851" w:bottom="1134" w:left="1701" w:header="0" w:footer="0" w:gutter="0"/>
          <w:cols w:space="720"/>
        </w:sectPr>
      </w:pPr>
    </w:p>
    <w:p w:rsidR="0000263C" w:rsidRPr="00A21F1C" w:rsidRDefault="003D6D60" w:rsidP="00A21F1C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418E" w:rsidRPr="00A21F1C">
        <w:rPr>
          <w:rFonts w:ascii="Times New Roman" w:hAnsi="Times New Roman" w:cs="Times New Roman"/>
          <w:sz w:val="26"/>
          <w:szCs w:val="26"/>
        </w:rPr>
        <w:t>№ 1</w:t>
      </w:r>
    </w:p>
    <w:p w:rsidR="0000263C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к подпрограмме «</w:t>
      </w:r>
      <w:r w:rsidR="0000263C" w:rsidRPr="00A21F1C">
        <w:rPr>
          <w:rFonts w:ascii="Times New Roman" w:hAnsi="Times New Roman" w:cs="Times New Roman"/>
          <w:sz w:val="26"/>
          <w:szCs w:val="26"/>
        </w:rPr>
        <w:t>Благоустройство</w:t>
      </w:r>
    </w:p>
    <w:p w:rsidR="0000263C" w:rsidRPr="00A21F1C" w:rsidRDefault="0000263C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дворовых и общественных территорий</w:t>
      </w:r>
    </w:p>
    <w:p w:rsidR="003D6D60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10A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сельского поселения Яльчикского района </w:t>
      </w:r>
    </w:p>
    <w:p w:rsidR="0039110A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Чувашской Республики «Формирование </w:t>
      </w:r>
    </w:p>
    <w:p w:rsidR="0039110A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современной городской среды на территории </w:t>
      </w:r>
    </w:p>
    <w:p w:rsidR="003D6D60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00263C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Чувашской Республики» на 2018 - 2024 годы</w:t>
      </w:r>
    </w:p>
    <w:p w:rsidR="003D6D60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D6D60" w:rsidRPr="00A21F1C" w:rsidRDefault="003D6D60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195"/>
      <w:bookmarkEnd w:id="5"/>
      <w:r w:rsidRPr="00A21F1C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И ПРОГНОЗН</w:t>
      </w:r>
      <w:r w:rsidR="003D6D60" w:rsidRPr="00A21F1C">
        <w:rPr>
          <w:rFonts w:ascii="Times New Roman" w:hAnsi="Times New Roman" w:cs="Times New Roman"/>
          <w:sz w:val="26"/>
          <w:szCs w:val="26"/>
        </w:rPr>
        <w:t xml:space="preserve">АЯ (СПРАВОЧНАЯ) ОЦЕНКА РАСХОДОВ </w:t>
      </w:r>
      <w:r w:rsidRPr="00A21F1C">
        <w:rPr>
          <w:rFonts w:ascii="Times New Roman" w:hAnsi="Times New Roman" w:cs="Times New Roman"/>
          <w:sz w:val="26"/>
          <w:szCs w:val="26"/>
        </w:rPr>
        <w:t>ЗА СЧЕТ ВСЕХ ИСТОЧНИКОВ ФИН</w:t>
      </w:r>
      <w:r w:rsidR="003D6D60" w:rsidRPr="00A21F1C">
        <w:rPr>
          <w:rFonts w:ascii="Times New Roman" w:hAnsi="Times New Roman" w:cs="Times New Roman"/>
          <w:sz w:val="26"/>
          <w:szCs w:val="26"/>
        </w:rPr>
        <w:t>АНСИРОВАНИЯ РЕАЛИЗАЦИИ ПОДПРОГРАММЫ «</w:t>
      </w:r>
      <w:r w:rsidRPr="00A21F1C"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</w:t>
      </w:r>
    </w:p>
    <w:p w:rsidR="0000263C" w:rsidRPr="00A21F1C" w:rsidRDefault="003D6D60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ТЕРРИТОРИЙ МУНИЦИПАЛЬНОГО ОБРАЗОВАНИЯ»</w:t>
      </w:r>
    </w:p>
    <w:p w:rsidR="0000263C" w:rsidRPr="00A21F1C" w:rsidRDefault="003D6D60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МУНИЦИПАЛЬНОЙ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A21F1C">
        <w:rPr>
          <w:rFonts w:ascii="Times New Roman" w:hAnsi="Times New Roman" w:cs="Times New Roman"/>
          <w:sz w:val="26"/>
          <w:szCs w:val="26"/>
        </w:rPr>
        <w:t xml:space="preserve"> БОЛЬШЕЯЛЬЧИКСКОГО СЕЛЬСКОГО ПОСЕЛЕНИЯ ЯЛЬЧИКСКОГО РАЙОНА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«</w:t>
      </w:r>
      <w:r w:rsidR="0000263C" w:rsidRPr="00A21F1C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НА ТЕРРИТОРИИ</w:t>
      </w:r>
      <w:r w:rsidRPr="00A21F1C">
        <w:rPr>
          <w:rFonts w:ascii="Times New Roman" w:hAnsi="Times New Roman" w:cs="Times New Roman"/>
          <w:sz w:val="26"/>
          <w:szCs w:val="26"/>
        </w:rPr>
        <w:t xml:space="preserve"> БОЛЬШЕЯЛЬЧИКСКОГО СЕЛЬСКОГО ПОСЕЛЕНИЯ ЯЛЬЧИКСКОГО РАЙОНА </w:t>
      </w:r>
      <w:r w:rsidR="0000263C" w:rsidRPr="00A21F1C">
        <w:rPr>
          <w:rFonts w:ascii="Times New Roman" w:hAnsi="Times New Roman" w:cs="Times New Roman"/>
          <w:sz w:val="26"/>
          <w:szCs w:val="26"/>
        </w:rPr>
        <w:t>ЧУВАШСКОЙ РЕСПУБЛ</w:t>
      </w:r>
      <w:r w:rsidRPr="00A21F1C">
        <w:rPr>
          <w:rFonts w:ascii="Times New Roman" w:hAnsi="Times New Roman" w:cs="Times New Roman"/>
          <w:sz w:val="26"/>
          <w:szCs w:val="26"/>
        </w:rPr>
        <w:t>ИКИ» НА 2018 - 2024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20774" w:type="dxa"/>
        <w:tblInd w:w="-8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995"/>
        <w:gridCol w:w="15"/>
        <w:gridCol w:w="53"/>
        <w:gridCol w:w="1402"/>
        <w:gridCol w:w="14"/>
        <w:gridCol w:w="16"/>
        <w:gridCol w:w="1275"/>
        <w:gridCol w:w="46"/>
        <w:gridCol w:w="959"/>
        <w:gridCol w:w="166"/>
        <w:gridCol w:w="9"/>
        <w:gridCol w:w="845"/>
        <w:gridCol w:w="68"/>
        <w:gridCol w:w="23"/>
        <w:gridCol w:w="827"/>
        <w:gridCol w:w="13"/>
        <w:gridCol w:w="59"/>
        <w:gridCol w:w="863"/>
        <w:gridCol w:w="1276"/>
        <w:gridCol w:w="709"/>
        <w:gridCol w:w="708"/>
        <w:gridCol w:w="709"/>
        <w:gridCol w:w="709"/>
        <w:gridCol w:w="709"/>
        <w:gridCol w:w="850"/>
        <w:gridCol w:w="931"/>
        <w:gridCol w:w="935"/>
        <w:gridCol w:w="935"/>
        <w:gridCol w:w="935"/>
        <w:gridCol w:w="935"/>
        <w:gridCol w:w="935"/>
      </w:tblGrid>
      <w:tr w:rsidR="009675EA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063" w:type="dxa"/>
            <w:gridSpan w:val="3"/>
            <w:vMerge w:val="restart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416" w:type="dxa"/>
            <w:gridSpan w:val="2"/>
            <w:vMerge w:val="restart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Задача подпрограммы </w:t>
            </w:r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 </w:t>
            </w:r>
            <w:proofErr w:type="spellStart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693493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 Чувашской Республики</w:t>
            </w:r>
          </w:p>
        </w:tc>
        <w:tc>
          <w:tcPr>
            <w:tcW w:w="1337" w:type="dxa"/>
            <w:gridSpan w:val="3"/>
            <w:vMerge w:val="restart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832" w:type="dxa"/>
            <w:gridSpan w:val="10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25" w:type="dxa"/>
            <w:gridSpan w:val="7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9675EA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9675EA" w:rsidRPr="00A21F1C" w:rsidRDefault="009675EA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9675EA" w:rsidRPr="00A21F1C" w:rsidRDefault="009675EA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9675EA" w:rsidRPr="00A21F1C" w:rsidRDefault="009675EA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9675EA" w:rsidRPr="00A21F1C" w:rsidRDefault="009675EA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13" w:type="dxa"/>
            <w:gridSpan w:val="2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850" w:type="dxa"/>
            <w:gridSpan w:val="2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35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9675EA" w:rsidRPr="00A21F1C" w:rsidRDefault="009675EA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31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75EA" w:rsidRPr="00A21F1C" w:rsidTr="00912882">
        <w:trPr>
          <w:gridAfter w:val="5"/>
          <w:wAfter w:w="4675" w:type="dxa"/>
        </w:trPr>
        <w:tc>
          <w:tcPr>
            <w:tcW w:w="850" w:type="dxa"/>
            <w:tcBorders>
              <w:lef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3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gridSpan w:val="2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7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3" w:type="dxa"/>
            <w:gridSpan w:val="2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5" w:type="dxa"/>
            <w:gridSpan w:val="3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right w:val="nil"/>
            </w:tcBorders>
          </w:tcPr>
          <w:p w:rsidR="009675EA" w:rsidRPr="00A21F1C" w:rsidRDefault="009675EA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Подпрог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рамма</w:t>
            </w:r>
          </w:p>
        </w:tc>
        <w:tc>
          <w:tcPr>
            <w:tcW w:w="2063" w:type="dxa"/>
            <w:gridSpan w:val="3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«Благоустройство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дворовых и общественных территорий муниципального образования»</w:t>
            </w:r>
          </w:p>
        </w:tc>
        <w:tc>
          <w:tcPr>
            <w:tcW w:w="1416" w:type="dxa"/>
            <w:gridSpan w:val="2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13" w:type="dxa"/>
            <w:gridSpan w:val="2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E54AD9" w:rsidRPr="00A21F1C" w:rsidRDefault="0091288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709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09" w:type="dxa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700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713700" w:rsidRPr="00A21F1C" w:rsidRDefault="00713700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713700" w:rsidRPr="00A21F1C" w:rsidRDefault="00713700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E54AD9" w:rsidRPr="00A21F1C" w:rsidRDefault="00E54AD9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E54AD9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E54AD9" w:rsidRPr="00A21F1C" w:rsidRDefault="00E54AD9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E54AD9" w:rsidRPr="00A21F1C" w:rsidRDefault="0091288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54AD9" w:rsidRPr="00A21F1C" w:rsidRDefault="0091288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54AD9" w:rsidRPr="00A21F1C" w:rsidRDefault="0091288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54AD9" w:rsidRPr="00A21F1C" w:rsidRDefault="00912882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E54AD9" w:rsidRPr="00A21F1C" w:rsidRDefault="00E54AD9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288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912882" w:rsidRPr="00A21F1C" w:rsidRDefault="00912882" w:rsidP="0091288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912882" w:rsidRPr="00A21F1C" w:rsidRDefault="00912882" w:rsidP="0091288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912882" w:rsidRPr="00A21F1C" w:rsidRDefault="00912882" w:rsidP="0091288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912882" w:rsidRPr="00A21F1C" w:rsidRDefault="00912882" w:rsidP="0091288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912882" w:rsidRPr="00A21F1C" w:rsidRDefault="00912882" w:rsidP="009128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709" w:type="dxa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09" w:type="dxa"/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Borders>
              <w:right w:val="nil"/>
            </w:tcBorders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912882" w:rsidRPr="00A21F1C" w:rsidRDefault="00912882" w:rsidP="009128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713700" w:rsidRPr="00A21F1C" w:rsidRDefault="00713700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713700" w:rsidRPr="00A21F1C" w:rsidRDefault="00713700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713700" w:rsidRPr="00A21F1C" w:rsidRDefault="00713700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2B34" w:rsidRPr="00A21F1C" w:rsidTr="00912882">
        <w:trPr>
          <w:gridAfter w:val="5"/>
          <w:wAfter w:w="4675" w:type="dxa"/>
        </w:trPr>
        <w:tc>
          <w:tcPr>
            <w:tcW w:w="14318" w:type="dxa"/>
            <w:gridSpan w:val="25"/>
            <w:tcBorders>
              <w:left w:val="nil"/>
              <w:right w:val="nil"/>
            </w:tcBorders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Цель "Повышение качества и комфорта городской среды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Республики»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82B34" w:rsidRPr="00A21F1C" w:rsidRDefault="00082B34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063" w:type="dxa"/>
            <w:gridSpan w:val="3"/>
            <w:vMerge w:val="restart"/>
          </w:tcPr>
          <w:p w:rsidR="00082B34" w:rsidRPr="00A21F1C" w:rsidRDefault="00912882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«</w:t>
            </w:r>
            <w:r w:rsidR="00082B34" w:rsidRPr="00A21F1C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6" w:type="dxa"/>
            <w:gridSpan w:val="2"/>
            <w:vMerge w:val="restart"/>
          </w:tcPr>
          <w:p w:rsidR="00082B34" w:rsidRPr="00A21F1C" w:rsidRDefault="00082B34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комфортной городской среды для жителей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337" w:type="dxa"/>
            <w:gridSpan w:val="3"/>
            <w:vMerge w:val="restart"/>
          </w:tcPr>
          <w:p w:rsidR="00082B34" w:rsidRPr="00A21F1C" w:rsidRDefault="00082B34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082B34" w:rsidRPr="00A21F1C" w:rsidRDefault="00082B34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082B34" w:rsidRPr="00A21F1C" w:rsidRDefault="00912882" w:rsidP="00A21F1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82B34" w:rsidRPr="00A21F1C" w:rsidRDefault="008B78EE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082B34"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082B34" w:rsidRPr="00A21F1C" w:rsidRDefault="00082B34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082B34" w:rsidRPr="00A21F1C" w:rsidRDefault="00082B34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082B34" w:rsidRPr="00A21F1C" w:rsidRDefault="00082B34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082B34" w:rsidRPr="00A21F1C" w:rsidRDefault="00082B34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082B34" w:rsidRPr="00A21F1C" w:rsidRDefault="00082B34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082B34" w:rsidRPr="00A21F1C" w:rsidRDefault="00082B34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082B34" w:rsidRPr="00A21F1C" w:rsidRDefault="00082B34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C90EF5" w:rsidRPr="00A21F1C" w:rsidRDefault="00C90EF5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C90EF5" w:rsidRPr="00A21F1C" w:rsidRDefault="00C90EF5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Яльчикского района Чувашской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09" w:type="dxa"/>
          </w:tcPr>
          <w:p w:rsidR="00C90EF5" w:rsidRPr="00A21F1C" w:rsidRDefault="00912882" w:rsidP="00A21F1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C90EF5" w:rsidRPr="00A21F1C" w:rsidRDefault="00912882" w:rsidP="00A21F1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C90EF5" w:rsidRPr="00A21F1C" w:rsidRDefault="002619EB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C90EF5" w:rsidRPr="00A21F1C" w:rsidRDefault="00912882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90EF5" w:rsidRPr="00A21F1C" w:rsidRDefault="00912882" w:rsidP="00A21F1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C90EF5"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1F1C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C90EF5" w:rsidRPr="00A21F1C" w:rsidRDefault="00C90EF5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C90EF5" w:rsidRPr="00A21F1C" w:rsidRDefault="00C90EF5" w:rsidP="00A21F1C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EF5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C90EF5" w:rsidRPr="00A21F1C" w:rsidRDefault="00C90EF5" w:rsidP="00A21F1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gridSpan w:val="18"/>
          </w:tcPr>
          <w:p w:rsidR="00C90EF5" w:rsidRPr="00A21F1C" w:rsidRDefault="00C90EF5" w:rsidP="00A21F1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(ед.)</w:t>
            </w:r>
          </w:p>
        </w:tc>
        <w:tc>
          <w:tcPr>
            <w:tcW w:w="1276" w:type="dxa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90EF5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90EF5" w:rsidRPr="00A21F1C" w:rsidRDefault="00E54AD9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right w:val="nil"/>
            </w:tcBorders>
          </w:tcPr>
          <w:p w:rsidR="00C90EF5" w:rsidRPr="00A21F1C" w:rsidRDefault="00C90EF5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010" w:type="dxa"/>
            <w:gridSpan w:val="2"/>
            <w:vMerge w:val="restart"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85" w:type="dxa"/>
            <w:gridSpan w:val="4"/>
            <w:vMerge w:val="restart"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комфортной городской среды для жителей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321" w:type="dxa"/>
            <w:gridSpan w:val="2"/>
            <w:vMerge w:val="restart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2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5" w:type="dxa"/>
            <w:gridSpan w:val="4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22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5" w:type="dxa"/>
            <w:gridSpan w:val="4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22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5" w:type="dxa"/>
            <w:gridSpan w:val="4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22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5" w:type="dxa"/>
            <w:gridSpan w:val="4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22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45" w:type="dxa"/>
            <w:gridSpan w:val="4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4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L5550</w:t>
            </w:r>
          </w:p>
        </w:tc>
        <w:tc>
          <w:tcPr>
            <w:tcW w:w="922" w:type="dxa"/>
            <w:gridSpan w:val="2"/>
          </w:tcPr>
          <w:p w:rsidR="00B10E52" w:rsidRPr="00B10E52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B10E52">
        <w:trPr>
          <w:gridAfter w:val="5"/>
          <w:wAfter w:w="4675" w:type="dxa"/>
          <w:trHeight w:val="597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0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5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D96D4C">
        <w:tc>
          <w:tcPr>
            <w:tcW w:w="14318" w:type="dxa"/>
            <w:gridSpan w:val="25"/>
            <w:tcBorders>
              <w:left w:val="nil"/>
              <w:right w:val="nil"/>
            </w:tcBorders>
          </w:tcPr>
          <w:p w:rsidR="00B10E52" w:rsidRDefault="00B10E52" w:rsidP="00B10E52">
            <w:pPr>
              <w:pStyle w:val="ConsPlusNormal"/>
              <w:tabs>
                <w:tab w:val="center" w:pos="7097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E52" w:rsidRPr="00A21F1C" w:rsidRDefault="00B10E52" w:rsidP="00B10E52">
            <w:pPr>
              <w:pStyle w:val="ConsPlusNormal"/>
              <w:tabs>
                <w:tab w:val="center" w:pos="7097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Цель «Повышение качества и комфорта городской среды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Республики»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nil"/>
            </w:tcBorders>
          </w:tcPr>
          <w:p w:rsidR="00B10E52" w:rsidRPr="00A21F1C" w:rsidRDefault="00B10E52" w:rsidP="00B10E52"/>
        </w:tc>
        <w:tc>
          <w:tcPr>
            <w:tcW w:w="935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063" w:type="dxa"/>
            <w:gridSpan w:val="3"/>
            <w:vMerge w:val="restart"/>
          </w:tcPr>
          <w:p w:rsidR="00B10E52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Содей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ствие благоустройства населенного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пункта муниципального образования</w:t>
            </w:r>
          </w:p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337" w:type="dxa"/>
            <w:gridSpan w:val="3"/>
            <w:vMerge w:val="restart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 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DD66F6">
        <w:trPr>
          <w:gridAfter w:val="5"/>
          <w:wAfter w:w="4675" w:type="dxa"/>
        </w:trPr>
        <w:tc>
          <w:tcPr>
            <w:tcW w:w="850" w:type="dxa"/>
            <w:tcBorders>
              <w:lef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Целевой индикатор и показатель подпрограммы,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увязанные с основным мероприятием 2</w:t>
            </w:r>
          </w:p>
        </w:tc>
        <w:tc>
          <w:tcPr>
            <w:tcW w:w="8648" w:type="dxa"/>
            <w:gridSpan w:val="18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населенных пунктов муниципального образования, улучшивших эстетический облик (ед.)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063" w:type="dxa"/>
            <w:gridSpan w:val="3"/>
            <w:vMerge w:val="restart"/>
          </w:tcPr>
          <w:p w:rsidR="00BA651F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337" w:type="dxa"/>
            <w:gridSpan w:val="3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 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13" w:type="dxa"/>
            <w:gridSpan w:val="2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  <w:gridSpan w:val="2"/>
          </w:tcPr>
          <w:p w:rsidR="00B10E52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А510277400</w:t>
            </w:r>
          </w:p>
        </w:tc>
        <w:tc>
          <w:tcPr>
            <w:tcW w:w="935" w:type="dxa"/>
            <w:gridSpan w:val="3"/>
          </w:tcPr>
          <w:p w:rsidR="00B10E52" w:rsidRPr="00A21F1C" w:rsidRDefault="00BA651F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10E52" w:rsidRPr="00A21F1C" w:rsidRDefault="00BA651F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B10E52"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="00B10E52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B10E52"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="00B10E52"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A651F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709" w:type="dxa"/>
          </w:tcPr>
          <w:p w:rsidR="00B10E52" w:rsidRPr="00A21F1C" w:rsidRDefault="00BA651F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709" w:type="dxa"/>
          </w:tcPr>
          <w:p w:rsidR="00B10E52" w:rsidRPr="00A21F1C" w:rsidRDefault="00BA651F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0E52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10E52" w:rsidRPr="00A21F1C" w:rsidRDefault="00B10E52" w:rsidP="00B10E5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10E52" w:rsidRPr="00A21F1C" w:rsidRDefault="00B10E52" w:rsidP="00B10E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10E52" w:rsidRPr="00A21F1C" w:rsidRDefault="00B10E52" w:rsidP="00B10E5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10E52" w:rsidRPr="00A21F1C" w:rsidRDefault="00B10E52" w:rsidP="00B10E5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063" w:type="dxa"/>
            <w:gridSpan w:val="3"/>
            <w:vMerge w:val="restart"/>
          </w:tcPr>
          <w:p w:rsidR="00BA651F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337" w:type="dxa"/>
            <w:gridSpan w:val="3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Чувашской Республики</w:t>
            </w: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 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А510277400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063" w:type="dxa"/>
            <w:gridSpan w:val="3"/>
            <w:vMerge w:val="restart"/>
          </w:tcPr>
          <w:p w:rsidR="00BA651F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благоустройству территорий</w:t>
            </w:r>
          </w:p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337" w:type="dxa"/>
            <w:gridSpan w:val="3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 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Default="00BA651F" w:rsidP="00BA651F">
            <w:pPr>
              <w:jc w:val="center"/>
            </w:pPr>
            <w:r w:rsidRPr="0009658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Default="00BA651F" w:rsidP="00BA651F">
            <w:pPr>
              <w:jc w:val="center"/>
            </w:pPr>
            <w:r w:rsidRPr="0009658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Default="00BA651F" w:rsidP="00BA651F">
            <w:pPr>
              <w:jc w:val="center"/>
            </w:pPr>
            <w:r w:rsidRPr="0009658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А510277400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14318" w:type="dxa"/>
            <w:gridSpan w:val="25"/>
            <w:tcBorders>
              <w:left w:val="nil"/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Цель «Повышение качества и комфорта городской среды на территории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Республики»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063" w:type="dxa"/>
            <w:gridSpan w:val="3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Вовлечение заинтересованных граждан, организаций в реализацию мероприятий по благоуст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ройству территорий муниципального образования</w:t>
            </w:r>
          </w:p>
        </w:tc>
        <w:tc>
          <w:tcPr>
            <w:tcW w:w="1416" w:type="dxa"/>
            <w:gridSpan w:val="2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повышение вовлеченности заинтересованных граждан, организаций в реализацию мероприятий по благоуст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ройству территорий муниципального образования</w:t>
            </w:r>
          </w:p>
        </w:tc>
        <w:tc>
          <w:tcPr>
            <w:tcW w:w="1337" w:type="dxa"/>
            <w:gridSpan w:val="3"/>
            <w:vMerge w:val="restart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Большеяльчикского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Яльчикского</w:t>
            </w:r>
            <w:proofErr w:type="spellEnd"/>
            <w:r w:rsidRPr="00A21F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vMerge/>
            <w:tcBorders>
              <w:left w:val="nil"/>
            </w:tcBorders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</w:tcPr>
          <w:p w:rsidR="00BA651F" w:rsidRPr="00A21F1C" w:rsidRDefault="00BA651F" w:rsidP="00BA651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3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51F" w:rsidRPr="00A21F1C" w:rsidTr="00912882">
        <w:trPr>
          <w:gridAfter w:val="5"/>
          <w:wAfter w:w="4675" w:type="dxa"/>
        </w:trPr>
        <w:tc>
          <w:tcPr>
            <w:tcW w:w="850" w:type="dxa"/>
            <w:tcBorders>
              <w:left w:val="nil"/>
            </w:tcBorders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</w:t>
            </w: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 подпрограммы, увязанные с основным мероприятием 3</w:t>
            </w:r>
          </w:p>
        </w:tc>
        <w:tc>
          <w:tcPr>
            <w:tcW w:w="8648" w:type="dxa"/>
            <w:gridSpan w:val="18"/>
          </w:tcPr>
          <w:p w:rsidR="00BA651F" w:rsidRPr="00A21F1C" w:rsidRDefault="00BA651F" w:rsidP="00BA65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финансового участия граждан, организаций в выполнении мероприятий по благоустройству территорий муниципального образования (процентов)</w:t>
            </w:r>
          </w:p>
        </w:tc>
        <w:tc>
          <w:tcPr>
            <w:tcW w:w="1276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right w:val="nil"/>
            </w:tcBorders>
          </w:tcPr>
          <w:p w:rsidR="00BA651F" w:rsidRPr="00A21F1C" w:rsidRDefault="00BA651F" w:rsidP="00BA651F">
            <w:pPr>
              <w:spacing w:after="0"/>
              <w:contextualSpacing/>
              <w:jc w:val="center"/>
            </w:pPr>
            <w:r w:rsidRPr="00A21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0263C" w:rsidRPr="00A21F1C" w:rsidRDefault="0000263C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  <w:sectPr w:rsidR="0000263C" w:rsidRPr="00A21F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CA418E" w:rsidP="00A21F1C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к подпрограмме «Благоустройство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дворовых и общественных территорий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сельского поселения Яльчикского района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Чувашской Республики «Формирование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современной городской среды на территории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 xml:space="preserve">Яльчикского района Чувашской Республики» </w:t>
      </w:r>
    </w:p>
    <w:p w:rsidR="00CA418E" w:rsidRPr="00A21F1C" w:rsidRDefault="00CA418E" w:rsidP="00A21F1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на 2018 - 2024 годы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CA418E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613"/>
      <w:bookmarkEnd w:id="6"/>
      <w:r w:rsidRPr="00A21F1C">
        <w:rPr>
          <w:rFonts w:ascii="Times New Roman" w:hAnsi="Times New Roman" w:cs="Times New Roman"/>
          <w:sz w:val="26"/>
          <w:szCs w:val="26"/>
        </w:rPr>
        <w:t>ПЕРЕЧЕНЬ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ОБЩЕСТВЕННЫХ ТЕРРИТОРИЙ, НУЖДАЮЩИХСЯ</w:t>
      </w:r>
    </w:p>
    <w:p w:rsidR="0000263C" w:rsidRPr="00A21F1C" w:rsidRDefault="0000263C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В БЛАГОУСТРОЙСТВЕ И ПОДЛЕЖАЩИХ БЛАГОУСТРОЙСТВУ</w:t>
      </w:r>
    </w:p>
    <w:p w:rsidR="0000263C" w:rsidRPr="00A21F1C" w:rsidRDefault="00CA418E" w:rsidP="00A21F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В ПЕРИОД 2018 - 2024</w:t>
      </w:r>
      <w:r w:rsidR="0000263C" w:rsidRPr="00A21F1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0263C" w:rsidRPr="00A21F1C" w:rsidRDefault="0000263C" w:rsidP="00A21F1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63C" w:rsidRPr="00A21F1C" w:rsidRDefault="0000263C" w:rsidP="00A21F1C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21F1C">
        <w:rPr>
          <w:rFonts w:ascii="Times New Roman" w:hAnsi="Times New Roman" w:cs="Times New Roman"/>
          <w:sz w:val="26"/>
          <w:szCs w:val="26"/>
        </w:rPr>
        <w:t>Адресный перечень</w:t>
      </w:r>
      <w:r w:rsidR="00CA418E" w:rsidRPr="00A21F1C">
        <w:rPr>
          <w:rFonts w:ascii="Times New Roman" w:hAnsi="Times New Roman" w:cs="Times New Roman"/>
          <w:sz w:val="26"/>
          <w:szCs w:val="26"/>
        </w:rPr>
        <w:t xml:space="preserve"> </w:t>
      </w:r>
      <w:r w:rsidRPr="00A21F1C">
        <w:rPr>
          <w:rFonts w:ascii="Times New Roman" w:hAnsi="Times New Roman" w:cs="Times New Roman"/>
          <w:sz w:val="26"/>
          <w:szCs w:val="26"/>
        </w:rPr>
        <w:t>общественных территорий</w:t>
      </w:r>
      <w:r w:rsidR="00CA418E" w:rsidRPr="00A21F1C">
        <w:rPr>
          <w:rFonts w:ascii="Times New Roman" w:hAnsi="Times New Roman" w:cs="Times New Roman"/>
          <w:sz w:val="26"/>
          <w:szCs w:val="26"/>
        </w:rPr>
        <w:t xml:space="preserve">, нуждающихся в благоустройстве, </w:t>
      </w:r>
      <w:r w:rsidRPr="00A21F1C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proofErr w:type="spellStart"/>
      <w:r w:rsidR="00CA418E" w:rsidRPr="00A21F1C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CA418E" w:rsidRPr="00A21F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A418E" w:rsidRPr="00A21F1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A418E" w:rsidRPr="00A21F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21F1C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0263C" w:rsidRPr="00A21F1C" w:rsidRDefault="0000263C" w:rsidP="00A21F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721"/>
        <w:gridCol w:w="5556"/>
      </w:tblGrid>
      <w:tr w:rsidR="0000263C" w:rsidRPr="00A21F1C">
        <w:tc>
          <w:tcPr>
            <w:tcW w:w="737" w:type="dxa"/>
            <w:tcBorders>
              <w:left w:val="nil"/>
            </w:tcBorders>
          </w:tcPr>
          <w:p w:rsidR="0000263C" w:rsidRPr="00A21F1C" w:rsidRDefault="00693493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1" w:type="dxa"/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с. Большие Яльчики</w:t>
            </w:r>
          </w:p>
        </w:tc>
        <w:tc>
          <w:tcPr>
            <w:tcW w:w="5556" w:type="dxa"/>
            <w:tcBorders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сквер по ул. Дзержинского</w:t>
            </w:r>
          </w:p>
        </w:tc>
      </w:tr>
      <w:tr w:rsidR="0000263C" w:rsidRPr="00A21F1C">
        <w:tc>
          <w:tcPr>
            <w:tcW w:w="737" w:type="dxa"/>
            <w:tcBorders>
              <w:left w:val="nil"/>
            </w:tcBorders>
          </w:tcPr>
          <w:p w:rsidR="0000263C" w:rsidRPr="00A21F1C" w:rsidRDefault="00693493" w:rsidP="00A21F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263C" w:rsidRPr="00A2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1" w:type="dxa"/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с. Большие Яльчики</w:t>
            </w:r>
          </w:p>
        </w:tc>
        <w:tc>
          <w:tcPr>
            <w:tcW w:w="5556" w:type="dxa"/>
            <w:tcBorders>
              <w:right w:val="nil"/>
            </w:tcBorders>
          </w:tcPr>
          <w:p w:rsidR="0000263C" w:rsidRPr="00A21F1C" w:rsidRDefault="0000263C" w:rsidP="00A21F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1C">
              <w:rPr>
                <w:rFonts w:ascii="Times New Roman" w:hAnsi="Times New Roman" w:cs="Times New Roman"/>
                <w:sz w:val="26"/>
                <w:szCs w:val="26"/>
              </w:rPr>
              <w:t>сквер, прилегающий к центральной площади</w:t>
            </w:r>
          </w:p>
        </w:tc>
      </w:tr>
    </w:tbl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3493" w:rsidRPr="00A21F1C" w:rsidRDefault="00693493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418E" w:rsidRPr="00A21F1C" w:rsidRDefault="00CA418E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418E" w:rsidRPr="00A21F1C" w:rsidRDefault="00CA418E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19EB" w:rsidRPr="00A21F1C" w:rsidRDefault="002619EB" w:rsidP="00A21F1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2619EB" w:rsidRPr="00A21F1C" w:rsidSect="006C44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63C"/>
    <w:rsid w:val="0000263C"/>
    <w:rsid w:val="00024669"/>
    <w:rsid w:val="00070F1B"/>
    <w:rsid w:val="00074888"/>
    <w:rsid w:val="00082B34"/>
    <w:rsid w:val="000A23AE"/>
    <w:rsid w:val="00111823"/>
    <w:rsid w:val="0012169B"/>
    <w:rsid w:val="002619EB"/>
    <w:rsid w:val="0027340F"/>
    <w:rsid w:val="0039110A"/>
    <w:rsid w:val="00396D78"/>
    <w:rsid w:val="003C7249"/>
    <w:rsid w:val="003D6D60"/>
    <w:rsid w:val="0040255C"/>
    <w:rsid w:val="00407DE1"/>
    <w:rsid w:val="00536A47"/>
    <w:rsid w:val="00591F0D"/>
    <w:rsid w:val="006231A9"/>
    <w:rsid w:val="00693493"/>
    <w:rsid w:val="006B5F6A"/>
    <w:rsid w:val="006C44EF"/>
    <w:rsid w:val="006F4741"/>
    <w:rsid w:val="00713700"/>
    <w:rsid w:val="00734F51"/>
    <w:rsid w:val="007F4EDF"/>
    <w:rsid w:val="00834B62"/>
    <w:rsid w:val="008B78EE"/>
    <w:rsid w:val="00912882"/>
    <w:rsid w:val="009675EA"/>
    <w:rsid w:val="009E251B"/>
    <w:rsid w:val="00A02F44"/>
    <w:rsid w:val="00A21F1C"/>
    <w:rsid w:val="00B10E52"/>
    <w:rsid w:val="00B4131A"/>
    <w:rsid w:val="00B656B1"/>
    <w:rsid w:val="00BA651F"/>
    <w:rsid w:val="00C90ADE"/>
    <w:rsid w:val="00C90EF5"/>
    <w:rsid w:val="00C95F4F"/>
    <w:rsid w:val="00CA418E"/>
    <w:rsid w:val="00D45252"/>
    <w:rsid w:val="00D5468E"/>
    <w:rsid w:val="00DB402C"/>
    <w:rsid w:val="00DB7EED"/>
    <w:rsid w:val="00E06E01"/>
    <w:rsid w:val="00E43C8B"/>
    <w:rsid w:val="00E54AD9"/>
    <w:rsid w:val="00EA6002"/>
    <w:rsid w:val="00ED3822"/>
    <w:rsid w:val="00EF5F44"/>
    <w:rsid w:val="00F15E74"/>
    <w:rsid w:val="00F3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4F"/>
  </w:style>
  <w:style w:type="paragraph" w:styleId="1">
    <w:name w:val="heading 1"/>
    <w:basedOn w:val="a"/>
    <w:next w:val="a"/>
    <w:link w:val="10"/>
    <w:qFormat/>
    <w:rsid w:val="000A23AE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2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02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70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00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unhideWhenUsed/>
    <w:rsid w:val="0027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23AE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A2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ACDC7DDF8F0887A5F947293FE2CE5F0FE83A08048A3FC26F6FA80EC4498F2A6F4EA93E1567331E418FCB320E4S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5ACDC7DDF8F0887A5F947293FE2CE5F3F48FA7814AA3FC26F6FA80EC4498F2A6F4EA93E1567331E418FCB320E4S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5267-E803-46FF-B177-7FD3F194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Чувайкина</dc:creator>
  <cp:lastModifiedBy>Заместитель</cp:lastModifiedBy>
  <cp:revision>6</cp:revision>
  <cp:lastPrinted>2019-04-18T05:13:00Z</cp:lastPrinted>
  <dcterms:created xsi:type="dcterms:W3CDTF">2019-04-17T11:57:00Z</dcterms:created>
  <dcterms:modified xsi:type="dcterms:W3CDTF">2019-04-18T05:13:00Z</dcterms:modified>
</cp:coreProperties>
</file>