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B213EF" w:rsidTr="00B213EF">
        <w:trPr>
          <w:cantSplit/>
          <w:trHeight w:val="420"/>
        </w:trPr>
        <w:tc>
          <w:tcPr>
            <w:tcW w:w="4320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</w:rPr>
              <w:t>ЧĂВАШ РЕСПУБЛИКИ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ХĔРЛĔ ЧУТАЙ</w:t>
            </w:r>
            <w:r>
              <w:rPr>
                <w:rFonts w:ascii="Arial Cyr Chuv" w:hAnsi="Arial Cyr Chuv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B213EF" w:rsidRDefault="00B213EF">
            <w:pPr>
              <w:jc w:val="both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ЧУВАШСКАЯ РЕСПУБЛИКА</w:t>
            </w:r>
            <w:r>
              <w:rPr>
                <w:rStyle w:val="a3"/>
                <w:b w:val="0"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КРАСНОЧЕТАЙСКИЙ  РАЙОН</w:t>
            </w:r>
          </w:p>
        </w:tc>
      </w:tr>
      <w:tr w:rsidR="00B213EF" w:rsidTr="00B213EF">
        <w:trPr>
          <w:cantSplit/>
          <w:trHeight w:val="2340"/>
        </w:trPr>
        <w:tc>
          <w:tcPr>
            <w:tcW w:w="4320" w:type="dxa"/>
          </w:tcPr>
          <w:p w:rsidR="00B213EF" w:rsidRDefault="00CF18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МАН ЭТМЕН</w:t>
            </w:r>
            <w:r w:rsidR="00B213EF">
              <w:rPr>
                <w:b/>
                <w:bCs/>
                <w:sz w:val="22"/>
              </w:rPr>
              <w:t xml:space="preserve"> 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ЯЛ ПОСЕЛЕНИЙĚН</w:t>
            </w:r>
          </w:p>
          <w:p w:rsidR="00B213EF" w:rsidRDefault="00B213EF">
            <w:pPr>
              <w:jc w:val="center"/>
            </w:pPr>
            <w:r>
              <w:rPr>
                <w:b/>
                <w:bCs/>
                <w:sz w:val="22"/>
              </w:rPr>
              <w:t>АДМИНИСТРАЦИЙĚ</w:t>
            </w:r>
          </w:p>
          <w:p w:rsidR="00B213EF" w:rsidRDefault="00B213EF">
            <w:pPr>
              <w:jc w:val="both"/>
            </w:pPr>
          </w:p>
          <w:p w:rsidR="00B213EF" w:rsidRDefault="00B213EF">
            <w:pPr>
              <w:jc w:val="center"/>
              <w:rPr>
                <w:rStyle w:val="a3"/>
                <w:sz w:val="26"/>
              </w:rPr>
            </w:pPr>
            <w:r>
              <w:rPr>
                <w:rStyle w:val="a3"/>
                <w:sz w:val="26"/>
              </w:rPr>
              <w:t>ЙЫШĂНУ</w:t>
            </w:r>
          </w:p>
          <w:p w:rsidR="00B213EF" w:rsidRDefault="00B213EF">
            <w:pPr>
              <w:jc w:val="center"/>
            </w:pPr>
          </w:p>
          <w:p w:rsidR="00B213EF" w:rsidRPr="00CF1885" w:rsidRDefault="00CF1885" w:rsidP="003257FF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12</w:t>
            </w:r>
            <w:r>
              <w:rPr>
                <w:u w:val="single"/>
              </w:rPr>
              <w:t>.0</w:t>
            </w:r>
            <w:r>
              <w:rPr>
                <w:u w:val="single"/>
                <w:lang w:val="en-US"/>
              </w:rPr>
              <w:t>7</w:t>
            </w:r>
            <w:r w:rsidR="00662C77">
              <w:rPr>
                <w:u w:val="single"/>
              </w:rPr>
              <w:t>.201</w:t>
            </w:r>
            <w:r w:rsidR="00CD6313">
              <w:rPr>
                <w:u w:val="single"/>
              </w:rPr>
              <w:t>9</w:t>
            </w:r>
            <w:r w:rsidR="00B213EF">
              <w:rPr>
                <w:u w:val="single"/>
              </w:rPr>
              <w:t xml:space="preserve"> № </w:t>
            </w:r>
            <w:r>
              <w:rPr>
                <w:u w:val="single"/>
                <w:lang w:val="en-US"/>
              </w:rPr>
              <w:t>40</w:t>
            </w:r>
          </w:p>
          <w:p w:rsidR="00B213EF" w:rsidRDefault="00CF1885">
            <w:pPr>
              <w:jc w:val="center"/>
            </w:pPr>
            <w:r>
              <w:t xml:space="preserve">Ман </w:t>
            </w:r>
            <w:proofErr w:type="spellStart"/>
            <w:r>
              <w:t>Этмен</w:t>
            </w:r>
            <w:proofErr w:type="spellEnd"/>
            <w:r w:rsidR="00B213EF">
              <w:t xml:space="preserve"> </w:t>
            </w:r>
            <w:proofErr w:type="spellStart"/>
            <w:r w:rsidR="00B213EF"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213EF" w:rsidRDefault="00B213EF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CF1885" w:rsidRDefault="00CF18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БОЛЬШЕАТМЕНСКОГО</w:t>
            </w:r>
          </w:p>
          <w:p w:rsidR="00B213EF" w:rsidRPr="00CF1885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СЕЛЬСКОГОПОСЕЛЕНИЯ</w:t>
            </w:r>
          </w:p>
          <w:p w:rsidR="00B213EF" w:rsidRDefault="00B213EF">
            <w:pPr>
              <w:jc w:val="center"/>
            </w:pP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rStyle w:val="a3"/>
                <w:sz w:val="26"/>
              </w:rPr>
              <w:t>ПОСТАНОВЛЕНИЕ</w:t>
            </w:r>
          </w:p>
          <w:p w:rsidR="00B213EF" w:rsidRDefault="00B213EF">
            <w:pPr>
              <w:jc w:val="center"/>
            </w:pPr>
          </w:p>
          <w:p w:rsidR="000B3351" w:rsidRPr="00CF1885" w:rsidRDefault="00CF1885" w:rsidP="000B3351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2</w:t>
            </w:r>
            <w:r>
              <w:rPr>
                <w:u w:val="single"/>
              </w:rPr>
              <w:t>.0</w:t>
            </w:r>
            <w:r>
              <w:rPr>
                <w:u w:val="single"/>
                <w:lang w:val="en-US"/>
              </w:rPr>
              <w:t>7</w:t>
            </w:r>
            <w:r w:rsidR="00584615">
              <w:rPr>
                <w:u w:val="single"/>
              </w:rPr>
              <w:t>.201</w:t>
            </w:r>
            <w:r w:rsidR="00CD6313">
              <w:rPr>
                <w:u w:val="single"/>
              </w:rPr>
              <w:t>9</w:t>
            </w:r>
            <w:r w:rsidR="00584615">
              <w:rPr>
                <w:u w:val="single"/>
              </w:rPr>
              <w:t xml:space="preserve"> № </w:t>
            </w:r>
            <w:r>
              <w:rPr>
                <w:u w:val="single"/>
                <w:lang w:val="en-US"/>
              </w:rPr>
              <w:t>401</w:t>
            </w:r>
          </w:p>
          <w:p w:rsidR="00B213EF" w:rsidRDefault="00CF1885" w:rsidP="000B3351">
            <w:pPr>
              <w:jc w:val="center"/>
              <w:rPr>
                <w:sz w:val="26"/>
              </w:rPr>
            </w:pPr>
            <w:r>
              <w:t>дер.</w:t>
            </w:r>
            <w:r w:rsidR="00B213EF">
              <w:t xml:space="preserve"> </w:t>
            </w:r>
            <w:r>
              <w:t xml:space="preserve">Большие </w:t>
            </w:r>
            <w:proofErr w:type="spellStart"/>
            <w:r>
              <w:t>Атмени</w:t>
            </w:r>
            <w:proofErr w:type="spellEnd"/>
          </w:p>
        </w:tc>
      </w:tr>
    </w:tbl>
    <w:p w:rsidR="00B213EF" w:rsidRDefault="00B213EF" w:rsidP="00B213EF">
      <w:pPr>
        <w:spacing w:line="360" w:lineRule="auto"/>
        <w:jc w:val="both"/>
      </w:pPr>
    </w:p>
    <w:p w:rsidR="00686D51" w:rsidRDefault="00686D51" w:rsidP="00686D51">
      <w:pPr>
        <w:ind w:right="4252"/>
        <w:rPr>
          <w:b/>
          <w:bCs/>
        </w:rPr>
      </w:pPr>
      <w:r w:rsidRPr="00686D51">
        <w:rPr>
          <w:b/>
          <w:bCs/>
        </w:rPr>
        <w:t xml:space="preserve">О нормативах финансовых затрат, правилах расчета размера ассигнований из бюджета </w:t>
      </w:r>
      <w:r w:rsidR="00CF1885">
        <w:rPr>
          <w:b/>
          <w:bCs/>
        </w:rPr>
        <w:t>Большеатменского</w:t>
      </w:r>
      <w:r>
        <w:rPr>
          <w:b/>
          <w:bCs/>
        </w:rPr>
        <w:t xml:space="preserve"> сельского поселения Красночетайского района</w:t>
      </w:r>
      <w:r w:rsidRPr="00686D51">
        <w:rPr>
          <w:b/>
          <w:bCs/>
        </w:rPr>
        <w:t xml:space="preserve"> Чувашской Республики на капитальный ремонт, ремонт и содержание автомобильных дорог общего пользования местного значения</w:t>
      </w:r>
    </w:p>
    <w:p w:rsidR="00686D51" w:rsidRPr="00686D51" w:rsidRDefault="00686D51" w:rsidP="00686D51">
      <w:pPr>
        <w:ind w:right="4252"/>
        <w:rPr>
          <w:b/>
          <w:bCs/>
        </w:rPr>
      </w:pPr>
    </w:p>
    <w:p w:rsidR="00686D51" w:rsidRPr="00686D51" w:rsidRDefault="00686D51" w:rsidP="00686D51">
      <w:pPr>
        <w:ind w:firstLine="567"/>
        <w:jc w:val="both"/>
      </w:pPr>
      <w:r w:rsidRPr="00686D51">
        <w:t xml:space="preserve">В соответствии с частью 3 статьи 33 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 Кабинета Министров Чувашской Республики от 30.12.2008 № 415 "О нормативах финансовых затрат, Правилах расчета размера ассигнований из республиканского бюджета Чувашской Республики на капитальный ремонт, ремонт и содержание автомобильных дорог общего пользования регионального и межмуниципального значения в Чувашской Республике и порядке их содержания и ремонта", администрация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 П О С Т А Н О В Л Я Е Т:</w:t>
      </w:r>
    </w:p>
    <w:p w:rsidR="00686D51" w:rsidRPr="00686D51" w:rsidRDefault="00686D51" w:rsidP="00686D51">
      <w:pPr>
        <w:ind w:firstLine="567"/>
        <w:jc w:val="both"/>
      </w:pPr>
      <w:r w:rsidRPr="00686D51">
        <w:t>1.Утвердить</w:t>
      </w:r>
      <w:r>
        <w:t xml:space="preserve"> </w:t>
      </w:r>
      <w:r w:rsidRPr="00686D51">
        <w:t xml:space="preserve">нормативы финансовых затрат на капитальный ремонт, ремонт и содержание автомобильных дорог общего пользования местного значения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V категории (далее - нормативы финансовых затрат) в следующих размерах (в ценах I квартала 2011 года):</w:t>
      </w:r>
    </w:p>
    <w:p w:rsidR="00686D51" w:rsidRPr="00686D51" w:rsidRDefault="00686D51" w:rsidP="00686D51">
      <w:pPr>
        <w:ind w:firstLine="567"/>
        <w:jc w:val="both"/>
      </w:pPr>
      <w:r w:rsidRPr="00686D51">
        <w:t>8470 тыс. рублей/км - на капитальный ремонт;</w:t>
      </w:r>
    </w:p>
    <w:p w:rsidR="00686D51" w:rsidRPr="00686D51" w:rsidRDefault="00686D51" w:rsidP="00686D51">
      <w:pPr>
        <w:ind w:firstLine="567"/>
        <w:jc w:val="both"/>
      </w:pPr>
      <w:r w:rsidRPr="00686D51">
        <w:t>2534 тыс. рублей/км - на ремонт;</w:t>
      </w:r>
    </w:p>
    <w:p w:rsidR="00686D51" w:rsidRPr="00686D51" w:rsidRDefault="00686D51" w:rsidP="00686D51">
      <w:pPr>
        <w:ind w:firstLine="567"/>
        <w:jc w:val="both"/>
      </w:pPr>
      <w:r w:rsidRPr="00686D51">
        <w:t>446 тыс. рублей/км - на содержание;</w:t>
      </w:r>
    </w:p>
    <w:p w:rsidR="00686D51" w:rsidRPr="00686D51" w:rsidRDefault="00686D51" w:rsidP="00686D51">
      <w:pPr>
        <w:ind w:firstLine="567"/>
        <w:jc w:val="both"/>
      </w:pPr>
      <w:r w:rsidRPr="00686D51">
        <w:t xml:space="preserve">2. Утвердить правила расчета размера ассигнований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на капитальный ремонт, ремонт и содержание автомобильных дорог общего пользования местного значения согласно приложению № 1 к настоящему постановлению.</w:t>
      </w:r>
    </w:p>
    <w:p w:rsidR="00686D51" w:rsidRPr="00686D51" w:rsidRDefault="00686D51" w:rsidP="00686D51">
      <w:pPr>
        <w:ind w:firstLine="567"/>
        <w:jc w:val="both"/>
      </w:pPr>
      <w:r w:rsidRPr="00686D51">
        <w:t xml:space="preserve">3. Администрации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обеспечить в течение 2019 - 2021 годов поэтапный переход к финансированию капитального ремонта, ремонта и содержания автомобильных дорог общего пользования местного значения по утвержденным пунктом 1 настоящего постановления нормативам финансовых затрат.</w:t>
      </w:r>
    </w:p>
    <w:p w:rsidR="00686D51" w:rsidRPr="00686D51" w:rsidRDefault="00686D51" w:rsidP="00686D51">
      <w:pPr>
        <w:ind w:firstLine="567"/>
        <w:jc w:val="both"/>
      </w:pPr>
      <w:r w:rsidRPr="00686D51">
        <w:t>4. Контроль за выполнением настоящего постановления оставляю за собой.</w:t>
      </w:r>
    </w:p>
    <w:p w:rsidR="00686D51" w:rsidRPr="00686D51" w:rsidRDefault="00686D51" w:rsidP="00686D51">
      <w:pPr>
        <w:jc w:val="both"/>
      </w:pPr>
      <w:r w:rsidRPr="00686D51">
        <w:t> </w:t>
      </w:r>
    </w:p>
    <w:p w:rsidR="00686D51" w:rsidRDefault="00686D51" w:rsidP="00686D51">
      <w:pPr>
        <w:jc w:val="both"/>
      </w:pPr>
      <w:r w:rsidRPr="00686D51">
        <w:t xml:space="preserve">Глава </w:t>
      </w:r>
      <w:r w:rsidR="00CF1885">
        <w:t>Большеатменского</w:t>
      </w:r>
    </w:p>
    <w:p w:rsidR="00686D51" w:rsidRPr="00686D51" w:rsidRDefault="00686D51" w:rsidP="00686D51">
      <w:pPr>
        <w:jc w:val="both"/>
      </w:pPr>
      <w:r w:rsidRPr="00686D51">
        <w:t>сельского поселения         </w:t>
      </w:r>
      <w:r>
        <w:t xml:space="preserve">                            </w:t>
      </w:r>
      <w:r w:rsidR="00CF1885">
        <w:t xml:space="preserve">                               Т.В.Артемьева</w:t>
      </w:r>
    </w:p>
    <w:p w:rsidR="00686D51" w:rsidRDefault="00686D51" w:rsidP="00686D51">
      <w:pPr>
        <w:jc w:val="both"/>
        <w:rPr>
          <w:b/>
          <w:bCs/>
        </w:rPr>
      </w:pPr>
    </w:p>
    <w:p w:rsidR="00686D51" w:rsidRDefault="00686D51" w:rsidP="00686D51">
      <w:pPr>
        <w:jc w:val="both"/>
        <w:rPr>
          <w:b/>
          <w:bCs/>
        </w:rPr>
      </w:pPr>
    </w:p>
    <w:p w:rsidR="00686D51" w:rsidRDefault="00686D51" w:rsidP="00686D51">
      <w:pPr>
        <w:jc w:val="both"/>
      </w:pPr>
    </w:p>
    <w:p w:rsidR="00686D51" w:rsidRPr="00686D51" w:rsidRDefault="00686D51" w:rsidP="00686D51">
      <w:pPr>
        <w:jc w:val="right"/>
      </w:pPr>
      <w:r w:rsidRPr="00686D51">
        <w:t>Приложение № 1</w:t>
      </w:r>
    </w:p>
    <w:p w:rsidR="00686D51" w:rsidRPr="00686D51" w:rsidRDefault="00686D51" w:rsidP="00686D51">
      <w:pPr>
        <w:jc w:val="right"/>
      </w:pPr>
      <w:r>
        <w:t xml:space="preserve">к </w:t>
      </w:r>
      <w:r w:rsidRPr="00686D51">
        <w:t>постановлени</w:t>
      </w:r>
      <w:r>
        <w:t>ю</w:t>
      </w:r>
      <w:r w:rsidRPr="00686D51">
        <w:t xml:space="preserve"> администрации</w:t>
      </w:r>
    </w:p>
    <w:p w:rsidR="00686D51" w:rsidRPr="00686D51" w:rsidRDefault="00CF1885" w:rsidP="00686D51">
      <w:pPr>
        <w:jc w:val="right"/>
      </w:pPr>
      <w:r>
        <w:t>Большеатменского</w:t>
      </w:r>
      <w:r w:rsidR="00686D51" w:rsidRPr="00686D51">
        <w:t xml:space="preserve"> сельского поселения</w:t>
      </w:r>
    </w:p>
    <w:p w:rsidR="00686D51" w:rsidRPr="00686D51" w:rsidRDefault="00686D51" w:rsidP="00686D51">
      <w:pPr>
        <w:jc w:val="right"/>
      </w:pPr>
      <w:r>
        <w:t>Красночетайского</w:t>
      </w:r>
      <w:r w:rsidRPr="00686D51">
        <w:t xml:space="preserve"> района Чувашской Республики</w:t>
      </w:r>
    </w:p>
    <w:p w:rsidR="00686D51" w:rsidRPr="00686D51" w:rsidRDefault="00686D51" w:rsidP="00686D51">
      <w:pPr>
        <w:jc w:val="right"/>
      </w:pPr>
      <w:r w:rsidRPr="00686D51">
        <w:t xml:space="preserve">от </w:t>
      </w:r>
      <w:r w:rsidR="00CF1885">
        <w:t>12.07</w:t>
      </w:r>
      <w:r>
        <w:t>.</w:t>
      </w:r>
      <w:r w:rsidRPr="00686D51">
        <w:t xml:space="preserve">2019 года № </w:t>
      </w:r>
      <w:r w:rsidR="00CF1885">
        <w:t>40</w:t>
      </w:r>
    </w:p>
    <w:p w:rsidR="00686D51" w:rsidRPr="00686D51" w:rsidRDefault="00686D51" w:rsidP="00686D51">
      <w:pPr>
        <w:jc w:val="both"/>
      </w:pPr>
      <w:r w:rsidRPr="00686D51">
        <w:t> </w:t>
      </w:r>
    </w:p>
    <w:p w:rsidR="00686D51" w:rsidRPr="00686D51" w:rsidRDefault="00686D51" w:rsidP="00686D51">
      <w:pPr>
        <w:jc w:val="both"/>
      </w:pPr>
      <w:r w:rsidRPr="00686D51">
        <w:rPr>
          <w:b/>
          <w:bCs/>
        </w:rPr>
        <w:t> </w:t>
      </w:r>
    </w:p>
    <w:p w:rsidR="00686D51" w:rsidRPr="00686D51" w:rsidRDefault="00686D51" w:rsidP="00686D51">
      <w:pPr>
        <w:jc w:val="center"/>
        <w:rPr>
          <w:b/>
        </w:rPr>
      </w:pPr>
      <w:r w:rsidRPr="00686D51">
        <w:rPr>
          <w:b/>
        </w:rPr>
        <w:t xml:space="preserve">П </w:t>
      </w:r>
      <w:proofErr w:type="spellStart"/>
      <w:r w:rsidRPr="00686D51">
        <w:rPr>
          <w:b/>
        </w:rPr>
        <w:t>р</w:t>
      </w:r>
      <w:proofErr w:type="spellEnd"/>
      <w:r w:rsidRPr="00686D51">
        <w:rPr>
          <w:b/>
        </w:rPr>
        <w:t xml:space="preserve"> а в и л а</w:t>
      </w:r>
    </w:p>
    <w:p w:rsidR="00686D51" w:rsidRDefault="00686D51" w:rsidP="00686D51">
      <w:pPr>
        <w:jc w:val="center"/>
        <w:rPr>
          <w:b/>
        </w:rPr>
      </w:pPr>
      <w:r w:rsidRPr="00686D51">
        <w:rPr>
          <w:b/>
        </w:rPr>
        <w:t>расчета размера ассигнований из бюджета </w:t>
      </w:r>
      <w:r w:rsidRPr="00686D51">
        <w:rPr>
          <w:b/>
        </w:rPr>
        <w:br/>
      </w:r>
      <w:r w:rsidR="00CF1885">
        <w:rPr>
          <w:b/>
        </w:rPr>
        <w:t>Большеатменского</w:t>
      </w:r>
      <w:r w:rsidRPr="00686D51">
        <w:rPr>
          <w:b/>
        </w:rPr>
        <w:t xml:space="preserve"> сельского поселения Красночетайского района </w:t>
      </w:r>
    </w:p>
    <w:p w:rsidR="00686D51" w:rsidRPr="00686D51" w:rsidRDefault="00686D51" w:rsidP="00686D51">
      <w:pPr>
        <w:jc w:val="center"/>
      </w:pPr>
      <w:r w:rsidRPr="00686D51">
        <w:rPr>
          <w:b/>
        </w:rPr>
        <w:t>Чувашской Республики</w:t>
      </w:r>
      <w:r>
        <w:rPr>
          <w:b/>
        </w:rPr>
        <w:t xml:space="preserve"> </w:t>
      </w:r>
      <w:r w:rsidRPr="00686D51">
        <w:rPr>
          <w:b/>
        </w:rPr>
        <w:t>на капитальный ремонт, ремонт и содержание автомобильных дорог общего пользования местного</w:t>
      </w:r>
      <w:r w:rsidRPr="00686D51">
        <w:t xml:space="preserve"> </w:t>
      </w:r>
      <w:r w:rsidRPr="00686D51">
        <w:rPr>
          <w:b/>
        </w:rPr>
        <w:t>значения</w:t>
      </w:r>
    </w:p>
    <w:p w:rsidR="00686D51" w:rsidRPr="00686D51" w:rsidRDefault="00686D51" w:rsidP="00686D51">
      <w:pPr>
        <w:jc w:val="both"/>
      </w:pPr>
      <w:bookmarkStart w:id="0" w:name="sub_101"/>
      <w:bookmarkEnd w:id="0"/>
      <w:r w:rsidRPr="00686D51">
        <w:t> </w:t>
      </w:r>
    </w:p>
    <w:p w:rsidR="00686D51" w:rsidRPr="00686D51" w:rsidRDefault="00686D51" w:rsidP="00686D51">
      <w:pPr>
        <w:jc w:val="both"/>
      </w:pPr>
      <w:r w:rsidRPr="00686D51">
        <w:t xml:space="preserve">1. Нормативы финансовых затрат применяются для определения размера ассигнований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Республики, предусматриваемых на капитальный ремонт, ремонт и содержание автомобильных дорог общего пользования местного значения </w:t>
      </w:r>
      <w:bookmarkStart w:id="1" w:name="sub_102"/>
      <w:bookmarkEnd w:id="1"/>
      <w:r w:rsidRPr="00686D51">
        <w:t>на 2019 год и последующие годы.</w:t>
      </w:r>
    </w:p>
    <w:p w:rsidR="00686D51" w:rsidRPr="00686D51" w:rsidRDefault="00686D51" w:rsidP="00686D51">
      <w:pPr>
        <w:jc w:val="both"/>
      </w:pPr>
      <w:r w:rsidRPr="00686D51">
        <w:t>2. В зависимости от категории автомобильной дороги и индекса-дефля</w:t>
      </w:r>
      <w:r w:rsidRPr="00686D51">
        <w:softHyphen/>
        <w:t>тора на соответствующий год применительно к каждой автомобильной дороге местного значения определяются приведенные нормативы (</w:t>
      </w:r>
      <w:proofErr w:type="spellStart"/>
      <w:r w:rsidRPr="00686D51">
        <w:t>Н</w:t>
      </w:r>
      <w:r w:rsidRPr="00686D51">
        <w:rPr>
          <w:vertAlign w:val="subscript"/>
        </w:rPr>
        <w:t>прив.кап.рем</w:t>
      </w:r>
      <w:proofErr w:type="spellEnd"/>
      <w:r w:rsidRPr="00686D51">
        <w:t xml:space="preserve">, </w:t>
      </w:r>
      <w:proofErr w:type="spellStart"/>
      <w:r w:rsidRPr="00686D51">
        <w:t>Н</w:t>
      </w:r>
      <w:r w:rsidRPr="00686D51">
        <w:rPr>
          <w:vertAlign w:val="subscript"/>
        </w:rPr>
        <w:t>прив.рем</w:t>
      </w:r>
      <w:proofErr w:type="spellEnd"/>
      <w:r w:rsidRPr="00686D51">
        <w:t xml:space="preserve">, </w:t>
      </w:r>
      <w:proofErr w:type="spellStart"/>
      <w:r w:rsidRPr="00686D51">
        <w:t>Н</w:t>
      </w:r>
      <w:r w:rsidRPr="00686D51">
        <w:rPr>
          <w:vertAlign w:val="subscript"/>
        </w:rPr>
        <w:t>прив.сод</w:t>
      </w:r>
      <w:proofErr w:type="spellEnd"/>
      <w:r w:rsidRPr="00686D51">
        <w:t>), рассчитываемые по формуле:</w:t>
      </w:r>
    </w:p>
    <w:p w:rsidR="00686D51" w:rsidRPr="00686D51" w:rsidRDefault="00686D51" w:rsidP="00686D51">
      <w:pPr>
        <w:jc w:val="both"/>
      </w:pPr>
      <w:proofErr w:type="spellStart"/>
      <w:r w:rsidRPr="00686D51">
        <w:t>Н</w:t>
      </w:r>
      <w:r w:rsidRPr="00686D51">
        <w:rPr>
          <w:vertAlign w:val="subscript"/>
        </w:rPr>
        <w:t>прив</w:t>
      </w:r>
      <w:proofErr w:type="spellEnd"/>
      <w:r w:rsidRPr="00686D51">
        <w:t xml:space="preserve"> = Н × </w:t>
      </w:r>
      <w:proofErr w:type="spellStart"/>
      <w:r w:rsidRPr="00686D51">
        <w:t>К</w:t>
      </w:r>
      <w:r w:rsidRPr="00686D51">
        <w:rPr>
          <w:vertAlign w:val="subscript"/>
        </w:rPr>
        <w:t>деф</w:t>
      </w:r>
      <w:proofErr w:type="spellEnd"/>
      <w:r w:rsidRPr="00686D51">
        <w:t xml:space="preserve"> × </w:t>
      </w:r>
      <w:proofErr w:type="spellStart"/>
      <w:r w:rsidRPr="00686D51">
        <w:t>К</w:t>
      </w:r>
      <w:r w:rsidRPr="00686D51">
        <w:rPr>
          <w:vertAlign w:val="subscript"/>
        </w:rPr>
        <w:t>кат</w:t>
      </w:r>
      <w:proofErr w:type="spellEnd"/>
      <w:r w:rsidRPr="00686D51">
        <w:t>,</w:t>
      </w:r>
    </w:p>
    <w:p w:rsidR="00686D51" w:rsidRPr="00686D51" w:rsidRDefault="00686D51" w:rsidP="00686D51">
      <w:pPr>
        <w:jc w:val="both"/>
      </w:pPr>
      <w:r w:rsidRPr="00686D51">
        <w:t>где:</w:t>
      </w:r>
    </w:p>
    <w:p w:rsidR="00686D51" w:rsidRPr="00686D51" w:rsidRDefault="00686D51" w:rsidP="00686D51">
      <w:pPr>
        <w:jc w:val="both"/>
      </w:pPr>
      <w:r w:rsidRPr="00686D51">
        <w:t>Н – установленный норматив финансовых затрат на капитальный ремонт, ремонт и содержание автомобильных дорог местного значения V категории;</w:t>
      </w:r>
    </w:p>
    <w:p w:rsidR="00686D51" w:rsidRPr="00686D51" w:rsidRDefault="00686D51" w:rsidP="00686D51">
      <w:pPr>
        <w:jc w:val="both"/>
      </w:pPr>
      <w:proofErr w:type="spellStart"/>
      <w:r w:rsidRPr="00686D51">
        <w:t>К</w:t>
      </w:r>
      <w:r w:rsidRPr="00686D51">
        <w:rPr>
          <w:vertAlign w:val="subscript"/>
        </w:rPr>
        <w:t>деф</w:t>
      </w:r>
      <w:proofErr w:type="spellEnd"/>
      <w:r w:rsidRPr="00686D51">
        <w:t> – индекс-дефлятор цен на год планирования (при расчете на период более одного года – произведение индексов-дефляторов на соответствующие годы), разработанные Министерством экономического развития и торговли Чувашской Республики;</w:t>
      </w:r>
    </w:p>
    <w:p w:rsidR="00686D51" w:rsidRPr="00686D51" w:rsidRDefault="00686D51" w:rsidP="00686D51">
      <w:pPr>
        <w:jc w:val="both"/>
      </w:pPr>
      <w:proofErr w:type="spellStart"/>
      <w:r w:rsidRPr="00686D51">
        <w:t>К</w:t>
      </w:r>
      <w:r w:rsidRPr="00686D51">
        <w:rPr>
          <w:vertAlign w:val="subscript"/>
        </w:rPr>
        <w:t>кат</w:t>
      </w:r>
      <w:proofErr w:type="spellEnd"/>
      <w:r w:rsidRPr="00686D51">
        <w:t> – коэффициент, учитывающий дифференциацию стоимости работ по капитальному ремонту, ремонту и содержанию автомобильных дорог местного значения по соответствующим категориям, согласно таблице № 1.</w:t>
      </w:r>
    </w:p>
    <w:p w:rsidR="00686D51" w:rsidRPr="00686D51" w:rsidRDefault="00686D51" w:rsidP="00686D51">
      <w:pPr>
        <w:jc w:val="both"/>
      </w:pPr>
      <w:r w:rsidRPr="00686D51">
        <w:t> </w:t>
      </w:r>
    </w:p>
    <w:p w:rsidR="00686D51" w:rsidRPr="00686D51" w:rsidRDefault="00686D51" w:rsidP="00686D51">
      <w:pPr>
        <w:jc w:val="both"/>
        <w:rPr>
          <w:b/>
        </w:rPr>
      </w:pPr>
      <w:r w:rsidRPr="00686D51">
        <w:rPr>
          <w:b/>
        </w:rPr>
        <w:t>Таблица № 1</w:t>
      </w:r>
    </w:p>
    <w:p w:rsidR="00686D51" w:rsidRPr="00686D51" w:rsidRDefault="00686D51" w:rsidP="00686D51">
      <w:pPr>
        <w:jc w:val="both"/>
      </w:pPr>
      <w:r w:rsidRPr="00686D51">
        <w:t> </w:t>
      </w:r>
      <w:r w:rsidRPr="00686D51">
        <w:rPr>
          <w:b/>
          <w:bCs/>
        </w:rPr>
        <w:t>Коэффициенты, учитывающие дифференциацию стоимости</w:t>
      </w:r>
    </w:p>
    <w:p w:rsidR="00686D51" w:rsidRPr="00686D51" w:rsidRDefault="00686D51" w:rsidP="00686D51">
      <w:pPr>
        <w:jc w:val="both"/>
      </w:pPr>
      <w:r w:rsidRPr="00686D51">
        <w:rPr>
          <w:b/>
          <w:bCs/>
        </w:rPr>
        <w:t>работ по капитальному ремонту, ремонту и содержанию автомобильных дорог местного значения по соответствующим категориям</w:t>
      </w:r>
    </w:p>
    <w:p w:rsidR="00686D51" w:rsidRPr="00686D51" w:rsidRDefault="00686D51" w:rsidP="00686D51">
      <w:pPr>
        <w:jc w:val="both"/>
      </w:pPr>
      <w:r w:rsidRPr="00686D51">
        <w:rPr>
          <w:b/>
          <w:bCs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9"/>
        <w:gridCol w:w="691"/>
        <w:gridCol w:w="691"/>
        <w:gridCol w:w="330"/>
        <w:gridCol w:w="1725"/>
      </w:tblGrid>
      <w:tr w:rsidR="00686D51" w:rsidRPr="00686D51" w:rsidTr="00686D5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Категория автомобильных дорог</w:t>
            </w:r>
          </w:p>
        </w:tc>
      </w:tr>
      <w:tr w:rsidR="00686D51" w:rsidRPr="00686D51" w:rsidTr="00686D5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Грунтовые</w:t>
            </w:r>
          </w:p>
        </w:tc>
      </w:tr>
      <w:tr w:rsidR="00686D51" w:rsidRPr="00686D51" w:rsidTr="00686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Капитальный ремонт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1,87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 </w:t>
            </w:r>
          </w:p>
        </w:tc>
      </w:tr>
      <w:tr w:rsidR="00686D51" w:rsidRPr="00686D51" w:rsidTr="00686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Ремонт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2,36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1,92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 </w:t>
            </w:r>
          </w:p>
        </w:tc>
      </w:tr>
      <w:tr w:rsidR="00686D51" w:rsidRPr="00686D51" w:rsidTr="00686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1,64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0,68</w:t>
            </w:r>
          </w:p>
        </w:tc>
      </w:tr>
    </w:tbl>
    <w:p w:rsidR="00686D51" w:rsidRPr="00686D51" w:rsidRDefault="00686D51" w:rsidP="00686D51">
      <w:pPr>
        <w:jc w:val="both"/>
      </w:pPr>
      <w:r w:rsidRPr="00686D51">
        <w:t> </w:t>
      </w:r>
    </w:p>
    <w:p w:rsidR="00686D51" w:rsidRPr="00686D51" w:rsidRDefault="00686D51" w:rsidP="00686D51">
      <w:pPr>
        <w:jc w:val="both"/>
      </w:pPr>
      <w:bookmarkStart w:id="2" w:name="sub_103"/>
      <w:bookmarkEnd w:id="2"/>
      <w:r w:rsidRPr="00686D51">
        <w:t xml:space="preserve">3. Определение размера ассигнований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на капитальный ремонт и ремонт автомобильных дорог местного значения осуществляется по следующим формулам:</w:t>
      </w:r>
    </w:p>
    <w:p w:rsidR="00686D51" w:rsidRPr="00686D51" w:rsidRDefault="00686D51" w:rsidP="00686D51">
      <w:pPr>
        <w:jc w:val="both"/>
      </w:pPr>
      <w:r w:rsidRPr="00686D51">
        <w:t>а) </w:t>
      </w:r>
      <w:proofErr w:type="spellStart"/>
      <w:r w:rsidRPr="00686D51">
        <w:t>А</w:t>
      </w:r>
      <w:r w:rsidRPr="00686D51">
        <w:rPr>
          <w:vertAlign w:val="subscript"/>
        </w:rPr>
        <w:t>кап.рем</w:t>
      </w:r>
      <w:proofErr w:type="spellEnd"/>
      <w:r w:rsidRPr="00686D51">
        <w:t xml:space="preserve"> = </w:t>
      </w:r>
      <w:proofErr w:type="spellStart"/>
      <w:r w:rsidRPr="00686D51">
        <w:t>Н</w:t>
      </w:r>
      <w:r w:rsidRPr="00686D51">
        <w:rPr>
          <w:vertAlign w:val="subscript"/>
        </w:rPr>
        <w:t>прив.кап.рем</w:t>
      </w:r>
      <w:proofErr w:type="spellEnd"/>
      <w:r w:rsidRPr="00686D51">
        <w:t xml:space="preserve"> × </w:t>
      </w:r>
      <w:proofErr w:type="spellStart"/>
      <w:r w:rsidRPr="00686D51">
        <w:t>L</w:t>
      </w:r>
      <w:r w:rsidRPr="00686D51">
        <w:rPr>
          <w:vertAlign w:val="subscript"/>
        </w:rPr>
        <w:t>кап.рем</w:t>
      </w:r>
      <w:proofErr w:type="spellEnd"/>
      <w:r w:rsidRPr="00686D51">
        <w:t>,</w:t>
      </w:r>
    </w:p>
    <w:p w:rsidR="00686D51" w:rsidRPr="00686D51" w:rsidRDefault="00686D51" w:rsidP="00686D51">
      <w:pPr>
        <w:jc w:val="both"/>
      </w:pPr>
      <w:r w:rsidRPr="00686D51">
        <w:t> </w:t>
      </w:r>
    </w:p>
    <w:p w:rsidR="00686D51" w:rsidRPr="00686D51" w:rsidRDefault="00686D51" w:rsidP="00686D51">
      <w:pPr>
        <w:jc w:val="both"/>
      </w:pPr>
      <w:r w:rsidRPr="00686D51">
        <w:t>где:</w:t>
      </w:r>
    </w:p>
    <w:p w:rsidR="00686D51" w:rsidRPr="00686D51" w:rsidRDefault="00686D51" w:rsidP="00686D51">
      <w:pPr>
        <w:jc w:val="both"/>
      </w:pPr>
      <w:proofErr w:type="spellStart"/>
      <w:r w:rsidRPr="00686D51">
        <w:lastRenderedPageBreak/>
        <w:t>А</w:t>
      </w:r>
      <w:r w:rsidRPr="00686D51">
        <w:rPr>
          <w:vertAlign w:val="subscript"/>
        </w:rPr>
        <w:t>кап.рем</w:t>
      </w:r>
      <w:proofErr w:type="spellEnd"/>
      <w:r w:rsidRPr="00686D51">
        <w:t xml:space="preserve"> – размер ассигнований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на выполнение работ по капитальному ремонту автомобильных дорог местного значения каждой категории, тыс. рублей;</w:t>
      </w:r>
    </w:p>
    <w:p w:rsidR="00686D51" w:rsidRPr="00686D51" w:rsidRDefault="00686D51" w:rsidP="00686D51">
      <w:pPr>
        <w:jc w:val="both"/>
      </w:pPr>
      <w:proofErr w:type="spellStart"/>
      <w:r w:rsidRPr="00686D51">
        <w:t>Н</w:t>
      </w:r>
      <w:r w:rsidRPr="00686D51">
        <w:rPr>
          <w:vertAlign w:val="subscript"/>
        </w:rPr>
        <w:t>прив.кап.рем</w:t>
      </w:r>
      <w:proofErr w:type="spellEnd"/>
      <w:r w:rsidRPr="00686D51">
        <w:t> – приведенный норматив финансовых затрат на работы по капитальному ремонту автомобильных дорог местного значения каждой кате</w:t>
      </w:r>
      <w:r w:rsidRPr="00686D51">
        <w:softHyphen/>
        <w:t>гории, тыс. рублей/км;</w:t>
      </w:r>
    </w:p>
    <w:p w:rsidR="00686D51" w:rsidRPr="00686D51" w:rsidRDefault="00686D51" w:rsidP="00686D51">
      <w:pPr>
        <w:jc w:val="both"/>
      </w:pPr>
      <w:proofErr w:type="spellStart"/>
      <w:r w:rsidRPr="00686D51">
        <w:t>L</w:t>
      </w:r>
      <w:r w:rsidRPr="00686D51">
        <w:rPr>
          <w:vertAlign w:val="subscript"/>
        </w:rPr>
        <w:t>кап.рем</w:t>
      </w:r>
      <w:proofErr w:type="spellEnd"/>
      <w:r w:rsidRPr="00686D51">
        <w:t> – расчетная протяженность автомобильных дорог местного значения каждой категории, подлежащих капитальному ремонту на год планирования, км;</w:t>
      </w:r>
    </w:p>
    <w:p w:rsidR="00686D51" w:rsidRPr="00686D51" w:rsidRDefault="00686D51" w:rsidP="00686D51">
      <w:pPr>
        <w:jc w:val="both"/>
      </w:pPr>
      <w:r w:rsidRPr="00686D51">
        <w:t> </w:t>
      </w:r>
    </w:p>
    <w:p w:rsidR="00686D51" w:rsidRPr="00686D51" w:rsidRDefault="00686D51" w:rsidP="00686D51">
      <w:pPr>
        <w:jc w:val="both"/>
      </w:pPr>
      <w:r w:rsidRPr="00686D51">
        <w:t>б) </w:t>
      </w:r>
      <w:proofErr w:type="spellStart"/>
      <w:r w:rsidRPr="00686D51">
        <w:t>А</w:t>
      </w:r>
      <w:r w:rsidRPr="00686D51">
        <w:rPr>
          <w:vertAlign w:val="subscript"/>
        </w:rPr>
        <w:t>рем</w:t>
      </w:r>
      <w:proofErr w:type="spellEnd"/>
      <w:r w:rsidRPr="00686D51">
        <w:t xml:space="preserve"> = </w:t>
      </w:r>
      <w:proofErr w:type="spellStart"/>
      <w:r w:rsidRPr="00686D51">
        <w:t>Н</w:t>
      </w:r>
      <w:r w:rsidRPr="00686D51">
        <w:rPr>
          <w:vertAlign w:val="subscript"/>
        </w:rPr>
        <w:t>прив.рем</w:t>
      </w:r>
      <w:proofErr w:type="spellEnd"/>
      <w:r w:rsidRPr="00686D51">
        <w:t xml:space="preserve"> × </w:t>
      </w:r>
      <w:proofErr w:type="spellStart"/>
      <w:r w:rsidRPr="00686D51">
        <w:t>L</w:t>
      </w:r>
      <w:r w:rsidRPr="00686D51">
        <w:rPr>
          <w:vertAlign w:val="subscript"/>
        </w:rPr>
        <w:t>рем</w:t>
      </w:r>
      <w:proofErr w:type="spellEnd"/>
      <w:r w:rsidRPr="00686D51">
        <w:t>,</w:t>
      </w:r>
    </w:p>
    <w:p w:rsidR="00686D51" w:rsidRPr="00686D51" w:rsidRDefault="00686D51" w:rsidP="00686D51">
      <w:pPr>
        <w:jc w:val="both"/>
      </w:pPr>
      <w:r w:rsidRPr="00686D51">
        <w:t>где:</w:t>
      </w:r>
    </w:p>
    <w:p w:rsidR="00686D51" w:rsidRPr="00686D51" w:rsidRDefault="00686D51" w:rsidP="00686D51">
      <w:pPr>
        <w:jc w:val="both"/>
      </w:pPr>
      <w:proofErr w:type="spellStart"/>
      <w:r w:rsidRPr="00686D51">
        <w:t>А</w:t>
      </w:r>
      <w:r w:rsidRPr="00686D51">
        <w:rPr>
          <w:vertAlign w:val="subscript"/>
        </w:rPr>
        <w:t>рем</w:t>
      </w:r>
      <w:proofErr w:type="spellEnd"/>
      <w:r w:rsidRPr="00686D51">
        <w:t xml:space="preserve"> – размер ассигнований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на выполнение работ по ремонту автомобильных дорог местного значения каждой категории, тыс. рублей;</w:t>
      </w:r>
    </w:p>
    <w:p w:rsidR="00686D51" w:rsidRPr="00686D51" w:rsidRDefault="00686D51" w:rsidP="00686D51">
      <w:pPr>
        <w:jc w:val="both"/>
      </w:pPr>
      <w:proofErr w:type="spellStart"/>
      <w:r w:rsidRPr="00686D51">
        <w:t>Н</w:t>
      </w:r>
      <w:r w:rsidRPr="00686D51">
        <w:rPr>
          <w:vertAlign w:val="subscript"/>
        </w:rPr>
        <w:t>прив.рем</w:t>
      </w:r>
      <w:proofErr w:type="spellEnd"/>
      <w:r w:rsidRPr="00686D51">
        <w:t> – приведенный норматив финансовых затрат на работы по ре</w:t>
      </w:r>
      <w:r w:rsidRPr="00686D51">
        <w:softHyphen/>
        <w:t>мон</w:t>
      </w:r>
      <w:r w:rsidRPr="00686D51">
        <w:softHyphen/>
        <w:t>ту автомобильных дорог местного значения каждой категории, тыс. руб</w:t>
      </w:r>
      <w:r w:rsidRPr="00686D51">
        <w:softHyphen/>
        <w:t>лей/км;</w:t>
      </w:r>
    </w:p>
    <w:p w:rsidR="00686D51" w:rsidRPr="00686D51" w:rsidRDefault="00686D51" w:rsidP="00686D51">
      <w:pPr>
        <w:jc w:val="both"/>
      </w:pPr>
      <w:proofErr w:type="spellStart"/>
      <w:r w:rsidRPr="00686D51">
        <w:t>L</w:t>
      </w:r>
      <w:r w:rsidRPr="00686D51">
        <w:rPr>
          <w:vertAlign w:val="subscript"/>
        </w:rPr>
        <w:t>рем</w:t>
      </w:r>
      <w:proofErr w:type="spellEnd"/>
      <w:r w:rsidRPr="00686D51">
        <w:t> – расчетная протяженность автомобильных дорог местного значения каждой категории, подлежащих ремонту на год планирования, км.</w:t>
      </w:r>
    </w:p>
    <w:p w:rsidR="00686D51" w:rsidRPr="00686D51" w:rsidRDefault="00686D51" w:rsidP="00686D51">
      <w:pPr>
        <w:jc w:val="both"/>
      </w:pPr>
      <w:r w:rsidRPr="00686D51">
        <w:t xml:space="preserve"> Общая потребность в ассигнованиях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на выполнение работ по капитальному ремонту и ремонту автомобильных дорог местного значения определяется как сумма ассигнований на выполнение данных работ по всем категориям</w:t>
      </w:r>
      <w:bookmarkStart w:id="3" w:name="sub_104"/>
      <w:bookmarkEnd w:id="3"/>
      <w:r w:rsidRPr="00686D51">
        <w:t>.</w:t>
      </w:r>
    </w:p>
    <w:p w:rsidR="00686D51" w:rsidRPr="00686D51" w:rsidRDefault="00686D51" w:rsidP="00686D51">
      <w:pPr>
        <w:jc w:val="both"/>
      </w:pPr>
      <w:r w:rsidRPr="00686D51">
        <w:t xml:space="preserve">4. Расчет размера ассигнований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на содержание автомобильных дорог местного значения осуществляется по формуле</w:t>
      </w:r>
    </w:p>
    <w:p w:rsidR="00686D51" w:rsidRPr="00686D51" w:rsidRDefault="00686D51" w:rsidP="00686D51">
      <w:pPr>
        <w:jc w:val="both"/>
      </w:pPr>
      <w:proofErr w:type="spellStart"/>
      <w:r w:rsidRPr="00686D51">
        <w:t>А</w:t>
      </w:r>
      <w:r w:rsidRPr="00686D51">
        <w:rPr>
          <w:vertAlign w:val="subscript"/>
        </w:rPr>
        <w:t>сод</w:t>
      </w:r>
      <w:proofErr w:type="spellEnd"/>
      <w:r w:rsidRPr="00686D51">
        <w:t xml:space="preserve"> = </w:t>
      </w:r>
      <w:proofErr w:type="spellStart"/>
      <w:r w:rsidRPr="00686D51">
        <w:t>Н</w:t>
      </w:r>
      <w:r w:rsidRPr="00686D51">
        <w:rPr>
          <w:vertAlign w:val="subscript"/>
        </w:rPr>
        <w:t>прив.сод</w:t>
      </w:r>
      <w:proofErr w:type="spellEnd"/>
      <w:r w:rsidRPr="00686D51">
        <w:t> × L,</w:t>
      </w:r>
    </w:p>
    <w:p w:rsidR="00686D51" w:rsidRPr="00686D51" w:rsidRDefault="00686D51" w:rsidP="00686D51">
      <w:pPr>
        <w:jc w:val="both"/>
      </w:pPr>
      <w:r w:rsidRPr="00686D51">
        <w:t>где:</w:t>
      </w:r>
    </w:p>
    <w:p w:rsidR="00686D51" w:rsidRPr="00686D51" w:rsidRDefault="00686D51" w:rsidP="00686D51">
      <w:pPr>
        <w:jc w:val="both"/>
      </w:pPr>
      <w:proofErr w:type="spellStart"/>
      <w:r w:rsidRPr="00686D51">
        <w:t>А</w:t>
      </w:r>
      <w:r w:rsidRPr="00686D51">
        <w:rPr>
          <w:vertAlign w:val="subscript"/>
        </w:rPr>
        <w:t>сод</w:t>
      </w:r>
      <w:proofErr w:type="spellEnd"/>
      <w:r w:rsidRPr="00686D51">
        <w:t xml:space="preserve"> – размер ассигнований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на выполнение работ по содержанию автомо</w:t>
      </w:r>
      <w:r w:rsidRPr="00686D51">
        <w:softHyphen/>
        <w:t>бильных дорог местного значения каждой категории, тыс. рублей;</w:t>
      </w:r>
    </w:p>
    <w:p w:rsidR="00686D51" w:rsidRPr="00686D51" w:rsidRDefault="00686D51" w:rsidP="00686D51">
      <w:pPr>
        <w:jc w:val="both"/>
      </w:pPr>
      <w:proofErr w:type="spellStart"/>
      <w:r w:rsidRPr="00686D51">
        <w:t>Н</w:t>
      </w:r>
      <w:r w:rsidRPr="00686D51">
        <w:rPr>
          <w:vertAlign w:val="subscript"/>
        </w:rPr>
        <w:t>прив.сод</w:t>
      </w:r>
      <w:proofErr w:type="spellEnd"/>
      <w:r w:rsidRPr="00686D51">
        <w:t> – приведенный норматив финансовых затрат на работы по со</w:t>
      </w:r>
      <w:r w:rsidRPr="00686D51">
        <w:softHyphen/>
        <w:t>дер</w:t>
      </w:r>
      <w:r w:rsidRPr="00686D51">
        <w:softHyphen/>
        <w:t>жанию автомобильных дорог местного значения каждой категории, тыс. руб</w:t>
      </w:r>
      <w:r w:rsidRPr="00686D51">
        <w:softHyphen/>
        <w:t>лей/км;</w:t>
      </w:r>
    </w:p>
    <w:p w:rsidR="00686D51" w:rsidRPr="00686D51" w:rsidRDefault="00686D51" w:rsidP="00686D51">
      <w:pPr>
        <w:jc w:val="both"/>
      </w:pPr>
      <w:r w:rsidRPr="00686D51">
        <w:t>L – протяженность автомобильных дорог местного значения каждой кате</w:t>
      </w:r>
      <w:r w:rsidRPr="00686D51">
        <w:softHyphen/>
        <w:t>гории на 1 января года, предшествующего планируемому периоду, км.</w:t>
      </w:r>
    </w:p>
    <w:p w:rsidR="00686D51" w:rsidRPr="00686D51" w:rsidRDefault="00686D51" w:rsidP="00686D51">
      <w:pPr>
        <w:jc w:val="both"/>
      </w:pPr>
      <w:r w:rsidRPr="00686D51">
        <w:t xml:space="preserve">Общая потребность в ассигнованиях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на выполнение работ по содержанию республиканских автомобильных дорог определяется как сумма ассигнований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на выполнение данных работ по всем категориям автомобильных дорог местного значения.</w:t>
      </w:r>
    </w:p>
    <w:p w:rsidR="00686D51" w:rsidRPr="00686D51" w:rsidRDefault="00686D51" w:rsidP="00686D51">
      <w:pPr>
        <w:jc w:val="both"/>
      </w:pPr>
      <w:bookmarkStart w:id="4" w:name="sub_105"/>
      <w:bookmarkEnd w:id="4"/>
      <w:r w:rsidRPr="00686D51">
        <w:t xml:space="preserve">5. Суммарная годовая потребность в ассигнованиях из бюджета </w:t>
      </w:r>
      <w:r w:rsidR="00CF1885">
        <w:t>Большеатменского</w:t>
      </w:r>
      <w:r>
        <w:t xml:space="preserve"> сельского поселения Красночетайского</w:t>
      </w:r>
      <w:r w:rsidRPr="00686D51">
        <w:t xml:space="preserve"> района Чувашской Республики для выполнения комплекса дорожных работ на автомобильных дорогах местного значения определяется как сумма годовой потребности в финансировании всех видов работ по всем категориям автомобильных дорог местного значения.</w:t>
      </w:r>
    </w:p>
    <w:p w:rsidR="00686D51" w:rsidRPr="00686D51" w:rsidRDefault="00686D51" w:rsidP="00686D51">
      <w:pPr>
        <w:jc w:val="both"/>
      </w:pPr>
      <w:bookmarkStart w:id="5" w:name="sub_106"/>
      <w:bookmarkEnd w:id="5"/>
      <w:r w:rsidRPr="00686D51">
        <w:t>6. 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 января года, предшествующего планируемому периоду, с учетом планируемого ввода в эксплуатацию автомобильных дорог местного значения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 с учетом правил арифметического округления).</w:t>
      </w:r>
    </w:p>
    <w:p w:rsidR="00686D51" w:rsidRPr="00686D51" w:rsidRDefault="00686D51" w:rsidP="00686D51">
      <w:pPr>
        <w:jc w:val="both"/>
      </w:pPr>
      <w:bookmarkStart w:id="6" w:name="sub_107"/>
      <w:bookmarkEnd w:id="6"/>
      <w:r w:rsidRPr="00686D51">
        <w:lastRenderedPageBreak/>
        <w:t>7. Расчетная протяженность автомобильных дорог местного значения каждой категории, подлежащих капитальному ремонту на год планирования (</w:t>
      </w:r>
      <w:proofErr w:type="spellStart"/>
      <w:r w:rsidRPr="00686D51">
        <w:t>L</w:t>
      </w:r>
      <w:r w:rsidRPr="00686D51">
        <w:rPr>
          <w:vertAlign w:val="subscript"/>
        </w:rPr>
        <w:t>кап.рем</w:t>
      </w:r>
      <w:proofErr w:type="spellEnd"/>
      <w:r w:rsidRPr="00686D51">
        <w:t>), определяется по формуле:</w:t>
      </w:r>
    </w:p>
    <w:p w:rsidR="00686D51" w:rsidRPr="00686D51" w:rsidRDefault="00686D51" w:rsidP="00686D51">
      <w:pPr>
        <w:jc w:val="both"/>
      </w:pPr>
      <w:r w:rsidRPr="00686D51">
        <w:t> </w:t>
      </w:r>
      <w:proofErr w:type="spellStart"/>
      <w:r w:rsidRPr="00686D51">
        <w:t>L</w:t>
      </w:r>
      <w:r w:rsidRPr="00686D51">
        <w:rPr>
          <w:vertAlign w:val="subscript"/>
        </w:rPr>
        <w:t>кап.рем</w:t>
      </w:r>
      <w:proofErr w:type="spellEnd"/>
      <w:r w:rsidRPr="00686D51">
        <w:t xml:space="preserve"> = L / </w:t>
      </w:r>
      <w:proofErr w:type="spellStart"/>
      <w:r w:rsidRPr="00686D51">
        <w:t>T</w:t>
      </w:r>
      <w:r w:rsidRPr="00686D51">
        <w:rPr>
          <w:vertAlign w:val="subscript"/>
        </w:rPr>
        <w:t>кап.рем</w:t>
      </w:r>
      <w:proofErr w:type="spellEnd"/>
      <w:r w:rsidRPr="00686D51">
        <w:t xml:space="preserve"> – </w:t>
      </w:r>
      <w:proofErr w:type="spellStart"/>
      <w:r w:rsidRPr="00686D51">
        <w:t>L</w:t>
      </w:r>
      <w:r w:rsidRPr="00686D51">
        <w:rPr>
          <w:vertAlign w:val="subscript"/>
        </w:rPr>
        <w:t>рек</w:t>
      </w:r>
      <w:proofErr w:type="spellEnd"/>
      <w:r w:rsidRPr="00686D51">
        <w:t>,</w:t>
      </w:r>
    </w:p>
    <w:p w:rsidR="00686D51" w:rsidRPr="00686D51" w:rsidRDefault="00686D51" w:rsidP="00686D51">
      <w:pPr>
        <w:jc w:val="both"/>
      </w:pPr>
      <w:r w:rsidRPr="00686D51">
        <w:t>где:</w:t>
      </w:r>
    </w:p>
    <w:p w:rsidR="00686D51" w:rsidRPr="00686D51" w:rsidRDefault="00686D51" w:rsidP="00686D51">
      <w:pPr>
        <w:jc w:val="both"/>
      </w:pPr>
      <w:proofErr w:type="spellStart"/>
      <w:r w:rsidRPr="00686D51">
        <w:t>T</w:t>
      </w:r>
      <w:r w:rsidRPr="00686D51">
        <w:rPr>
          <w:vertAlign w:val="subscript"/>
        </w:rPr>
        <w:t>кап.рем</w:t>
      </w:r>
      <w:proofErr w:type="spellEnd"/>
      <w:r w:rsidRPr="00686D51">
        <w:t> – нормативный межремонтный срок работ по капитальному ре</w:t>
      </w:r>
      <w:r w:rsidRPr="00686D51">
        <w:softHyphen/>
        <w:t>монту для автомобильных дорог местного значения каждой категории согласно табл. 2, лет;</w:t>
      </w:r>
    </w:p>
    <w:p w:rsidR="00686D51" w:rsidRPr="00686D51" w:rsidRDefault="00686D51" w:rsidP="00686D51">
      <w:pPr>
        <w:jc w:val="both"/>
      </w:pPr>
      <w:proofErr w:type="spellStart"/>
      <w:r w:rsidRPr="00686D51">
        <w:t>L</w:t>
      </w:r>
      <w:r w:rsidRPr="00686D51">
        <w:rPr>
          <w:vertAlign w:val="subscript"/>
        </w:rPr>
        <w:t>рек</w:t>
      </w:r>
      <w:proofErr w:type="spellEnd"/>
      <w:r w:rsidRPr="00686D51">
        <w:t> – протяженность автомобильных дорог местного значения каждой категории, намеченных к реконструкции на год планирования, км/год.</w:t>
      </w:r>
    </w:p>
    <w:p w:rsidR="00686D51" w:rsidRPr="00686D51" w:rsidRDefault="00686D51" w:rsidP="00686D51">
      <w:pPr>
        <w:jc w:val="both"/>
      </w:pPr>
      <w:r w:rsidRPr="00686D51">
        <w:t> </w:t>
      </w:r>
      <w:bookmarkStart w:id="7" w:name="sub_108"/>
      <w:bookmarkEnd w:id="7"/>
      <w:r w:rsidRPr="00686D51">
        <w:t>8. Расчетная протяженность автомобильных дорог местного значения каждой категории, подлежащих ремонту на год планирования (</w:t>
      </w:r>
      <w:proofErr w:type="spellStart"/>
      <w:r w:rsidRPr="00686D51">
        <w:t>L</w:t>
      </w:r>
      <w:r w:rsidRPr="00686D51">
        <w:rPr>
          <w:vertAlign w:val="subscript"/>
        </w:rPr>
        <w:t>рем</w:t>
      </w:r>
      <w:proofErr w:type="spellEnd"/>
      <w:r w:rsidRPr="00686D51">
        <w:t>), определяется по формуле</w:t>
      </w:r>
    </w:p>
    <w:p w:rsidR="00686D51" w:rsidRPr="00686D51" w:rsidRDefault="00686D51" w:rsidP="00686D51">
      <w:pPr>
        <w:jc w:val="both"/>
      </w:pPr>
      <w:proofErr w:type="spellStart"/>
      <w:r w:rsidRPr="00686D51">
        <w:t>L</w:t>
      </w:r>
      <w:r w:rsidRPr="00686D51">
        <w:rPr>
          <w:vertAlign w:val="subscript"/>
        </w:rPr>
        <w:t>рем</w:t>
      </w:r>
      <w:proofErr w:type="spellEnd"/>
      <w:r w:rsidRPr="00686D51">
        <w:t xml:space="preserve"> = L / </w:t>
      </w:r>
      <w:proofErr w:type="spellStart"/>
      <w:r w:rsidRPr="00686D51">
        <w:t>T</w:t>
      </w:r>
      <w:r w:rsidRPr="00686D51">
        <w:rPr>
          <w:vertAlign w:val="subscript"/>
        </w:rPr>
        <w:t>рем</w:t>
      </w:r>
      <w:proofErr w:type="spellEnd"/>
      <w:r w:rsidRPr="00686D51">
        <w:t> – (</w:t>
      </w:r>
      <w:proofErr w:type="spellStart"/>
      <w:r w:rsidRPr="00686D51">
        <w:t>L</w:t>
      </w:r>
      <w:r w:rsidRPr="00686D51">
        <w:rPr>
          <w:vertAlign w:val="subscript"/>
        </w:rPr>
        <w:t>рек</w:t>
      </w:r>
      <w:proofErr w:type="spellEnd"/>
      <w:r w:rsidRPr="00686D51">
        <w:t xml:space="preserve"> + </w:t>
      </w:r>
      <w:proofErr w:type="spellStart"/>
      <w:r w:rsidRPr="00686D51">
        <w:t>L</w:t>
      </w:r>
      <w:r w:rsidRPr="00686D51">
        <w:rPr>
          <w:vertAlign w:val="subscript"/>
        </w:rPr>
        <w:t>кап.рем</w:t>
      </w:r>
      <w:proofErr w:type="spellEnd"/>
      <w:r w:rsidRPr="00686D51">
        <w:t>),</w:t>
      </w:r>
    </w:p>
    <w:p w:rsidR="00686D51" w:rsidRPr="00686D51" w:rsidRDefault="00686D51" w:rsidP="00686D51">
      <w:pPr>
        <w:jc w:val="both"/>
      </w:pPr>
      <w:r w:rsidRPr="00686D51">
        <w:t>где:</w:t>
      </w:r>
    </w:p>
    <w:p w:rsidR="00686D51" w:rsidRPr="00686D51" w:rsidRDefault="00686D51" w:rsidP="00686D51">
      <w:pPr>
        <w:jc w:val="both"/>
      </w:pPr>
      <w:proofErr w:type="spellStart"/>
      <w:r w:rsidRPr="00686D51">
        <w:t>T</w:t>
      </w:r>
      <w:r w:rsidRPr="00686D51">
        <w:rPr>
          <w:vertAlign w:val="subscript"/>
        </w:rPr>
        <w:t>рем</w:t>
      </w:r>
      <w:proofErr w:type="spellEnd"/>
      <w:r w:rsidRPr="00686D51">
        <w:t> – нормативный межремонтный срок по ремонту для автомобильных дорог местного значения каждой категории согласно таблице № 2, лет.</w:t>
      </w:r>
    </w:p>
    <w:p w:rsidR="00686D51" w:rsidRPr="00686D51" w:rsidRDefault="00686D51" w:rsidP="00686D51">
      <w:pPr>
        <w:jc w:val="both"/>
      </w:pPr>
      <w:r w:rsidRPr="00686D51">
        <w:t> </w:t>
      </w:r>
    </w:p>
    <w:p w:rsidR="00686D51" w:rsidRPr="00686D51" w:rsidRDefault="00686D51" w:rsidP="00686D51">
      <w:pPr>
        <w:jc w:val="both"/>
      </w:pPr>
      <w:bookmarkStart w:id="8" w:name="sub_1003"/>
      <w:bookmarkEnd w:id="8"/>
      <w:r w:rsidRPr="00686D51">
        <w:t>Таблица № 2</w:t>
      </w:r>
    </w:p>
    <w:p w:rsidR="00686D51" w:rsidRPr="00686D51" w:rsidRDefault="00686D51" w:rsidP="00686D51">
      <w:pPr>
        <w:jc w:val="both"/>
      </w:pPr>
      <w:r w:rsidRPr="00686D51">
        <w:t> </w:t>
      </w:r>
    </w:p>
    <w:p w:rsidR="00686D51" w:rsidRPr="00686D51" w:rsidRDefault="00686D51" w:rsidP="00686D51">
      <w:pPr>
        <w:jc w:val="both"/>
      </w:pPr>
      <w:r w:rsidRPr="00686D51">
        <w:t>Нормативные межремонтные сроки</w:t>
      </w:r>
    </w:p>
    <w:p w:rsidR="00686D51" w:rsidRPr="00686D51" w:rsidRDefault="00686D51" w:rsidP="00686D51">
      <w:pPr>
        <w:jc w:val="both"/>
      </w:pPr>
      <w:r w:rsidRPr="00686D51">
        <w:t>(лет)</w:t>
      </w:r>
    </w:p>
    <w:p w:rsidR="00686D51" w:rsidRPr="00686D51" w:rsidRDefault="00686D51" w:rsidP="00686D51">
      <w:pPr>
        <w:jc w:val="both"/>
      </w:pPr>
      <w:r w:rsidRPr="00686D51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9"/>
        <w:gridCol w:w="1122"/>
        <w:gridCol w:w="1179"/>
        <w:gridCol w:w="1137"/>
      </w:tblGrid>
      <w:tr w:rsidR="00686D51" w:rsidRPr="00686D51" w:rsidTr="00686D5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Категория автомобильных дорог</w:t>
            </w:r>
          </w:p>
        </w:tc>
      </w:tr>
      <w:tr w:rsidR="00686D51" w:rsidRPr="00686D51" w:rsidTr="00686D5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V</w:t>
            </w:r>
          </w:p>
        </w:tc>
      </w:tr>
      <w:tr w:rsidR="00686D51" w:rsidRPr="00686D51" w:rsidTr="00686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Капитальный ремонт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10</w:t>
            </w:r>
          </w:p>
        </w:tc>
      </w:tr>
      <w:tr w:rsidR="00686D51" w:rsidRPr="00686D51" w:rsidTr="00686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Ремонт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6D51" w:rsidRPr="00686D51" w:rsidRDefault="00686D51" w:rsidP="00686D51">
            <w:pPr>
              <w:jc w:val="both"/>
              <w:rPr>
                <w:color w:val="auto"/>
              </w:rPr>
            </w:pPr>
            <w:r w:rsidRPr="00686D51">
              <w:rPr>
                <w:color w:val="auto"/>
              </w:rPr>
              <w:t>5</w:t>
            </w:r>
          </w:p>
        </w:tc>
      </w:tr>
    </w:tbl>
    <w:p w:rsidR="001B4418" w:rsidRPr="00A7582F" w:rsidRDefault="001B4418" w:rsidP="00686D51">
      <w:pPr>
        <w:jc w:val="both"/>
        <w:rPr>
          <w:sz w:val="26"/>
          <w:szCs w:val="28"/>
        </w:rPr>
      </w:pPr>
    </w:p>
    <w:p w:rsidR="001B4418" w:rsidRPr="00A7582F" w:rsidRDefault="001B4418" w:rsidP="00686D51">
      <w:pPr>
        <w:jc w:val="both"/>
        <w:rPr>
          <w:sz w:val="26"/>
        </w:rPr>
      </w:pPr>
    </w:p>
    <w:p w:rsidR="001B4418" w:rsidRPr="00A7582F" w:rsidRDefault="001B4418" w:rsidP="00686D51">
      <w:pPr>
        <w:jc w:val="both"/>
        <w:rPr>
          <w:sz w:val="26"/>
        </w:rPr>
      </w:pPr>
    </w:p>
    <w:p w:rsidR="00B213EF" w:rsidRDefault="00B213EF" w:rsidP="00686D51">
      <w:pPr>
        <w:jc w:val="both"/>
      </w:pPr>
    </w:p>
    <w:p w:rsidR="00B213EF" w:rsidRDefault="00B213EF" w:rsidP="00686D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13EF" w:rsidRDefault="00B213EF" w:rsidP="00686D51">
      <w:pPr>
        <w:jc w:val="both"/>
      </w:pPr>
    </w:p>
    <w:p w:rsidR="002438C3" w:rsidRDefault="002438C3" w:rsidP="00686D51">
      <w:pPr>
        <w:jc w:val="both"/>
      </w:pPr>
    </w:p>
    <w:sectPr w:rsidR="002438C3" w:rsidSect="0024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13EF"/>
    <w:rsid w:val="000153B1"/>
    <w:rsid w:val="00016298"/>
    <w:rsid w:val="000350E7"/>
    <w:rsid w:val="00041C2C"/>
    <w:rsid w:val="00054627"/>
    <w:rsid w:val="00065ADD"/>
    <w:rsid w:val="00073EB9"/>
    <w:rsid w:val="00077D1E"/>
    <w:rsid w:val="000B3351"/>
    <w:rsid w:val="000B40EA"/>
    <w:rsid w:val="000B5910"/>
    <w:rsid w:val="000D4E17"/>
    <w:rsid w:val="000E04CD"/>
    <w:rsid w:val="000E4DD3"/>
    <w:rsid w:val="000E67C2"/>
    <w:rsid w:val="000F5591"/>
    <w:rsid w:val="00126051"/>
    <w:rsid w:val="0013547B"/>
    <w:rsid w:val="001662C3"/>
    <w:rsid w:val="001B4418"/>
    <w:rsid w:val="001C1392"/>
    <w:rsid w:val="001C456E"/>
    <w:rsid w:val="001C5248"/>
    <w:rsid w:val="001D797A"/>
    <w:rsid w:val="001F0C9C"/>
    <w:rsid w:val="001F1A2F"/>
    <w:rsid w:val="00207031"/>
    <w:rsid w:val="002172C2"/>
    <w:rsid w:val="00232023"/>
    <w:rsid w:val="00234038"/>
    <w:rsid w:val="002438C3"/>
    <w:rsid w:val="0025636E"/>
    <w:rsid w:val="002761C5"/>
    <w:rsid w:val="00283061"/>
    <w:rsid w:val="00284651"/>
    <w:rsid w:val="002B0DDA"/>
    <w:rsid w:val="002B4015"/>
    <w:rsid w:val="002C5209"/>
    <w:rsid w:val="002E6BF3"/>
    <w:rsid w:val="00301D99"/>
    <w:rsid w:val="003170E1"/>
    <w:rsid w:val="0032370D"/>
    <w:rsid w:val="003257FF"/>
    <w:rsid w:val="003405CF"/>
    <w:rsid w:val="00392B08"/>
    <w:rsid w:val="003B1B78"/>
    <w:rsid w:val="003D038F"/>
    <w:rsid w:val="003D1DBE"/>
    <w:rsid w:val="003E211B"/>
    <w:rsid w:val="003F4015"/>
    <w:rsid w:val="00403F60"/>
    <w:rsid w:val="00416778"/>
    <w:rsid w:val="004252B6"/>
    <w:rsid w:val="00442B13"/>
    <w:rsid w:val="00443AC0"/>
    <w:rsid w:val="00460626"/>
    <w:rsid w:val="00467A17"/>
    <w:rsid w:val="004725BC"/>
    <w:rsid w:val="004A2A4B"/>
    <w:rsid w:val="004A5125"/>
    <w:rsid w:val="004B1D1B"/>
    <w:rsid w:val="004C6308"/>
    <w:rsid w:val="004E7F0B"/>
    <w:rsid w:val="004F2845"/>
    <w:rsid w:val="004F79ED"/>
    <w:rsid w:val="005122AC"/>
    <w:rsid w:val="00514D31"/>
    <w:rsid w:val="0051626D"/>
    <w:rsid w:val="00522E28"/>
    <w:rsid w:val="00526867"/>
    <w:rsid w:val="0053587F"/>
    <w:rsid w:val="00554ED3"/>
    <w:rsid w:val="005802BB"/>
    <w:rsid w:val="00584615"/>
    <w:rsid w:val="0059571C"/>
    <w:rsid w:val="005A0CEE"/>
    <w:rsid w:val="005A752F"/>
    <w:rsid w:val="005B4205"/>
    <w:rsid w:val="005C173B"/>
    <w:rsid w:val="005D7D76"/>
    <w:rsid w:val="00605E07"/>
    <w:rsid w:val="00607554"/>
    <w:rsid w:val="00611412"/>
    <w:rsid w:val="00616609"/>
    <w:rsid w:val="00626525"/>
    <w:rsid w:val="006372C1"/>
    <w:rsid w:val="00645799"/>
    <w:rsid w:val="00650ED4"/>
    <w:rsid w:val="00662C77"/>
    <w:rsid w:val="00686D51"/>
    <w:rsid w:val="00690AF5"/>
    <w:rsid w:val="006A23D0"/>
    <w:rsid w:val="006B1D09"/>
    <w:rsid w:val="006C6A84"/>
    <w:rsid w:val="006D4E04"/>
    <w:rsid w:val="00720A7A"/>
    <w:rsid w:val="0072654E"/>
    <w:rsid w:val="007306BA"/>
    <w:rsid w:val="0074030A"/>
    <w:rsid w:val="007421A4"/>
    <w:rsid w:val="0075471E"/>
    <w:rsid w:val="00770CC6"/>
    <w:rsid w:val="00793454"/>
    <w:rsid w:val="00797100"/>
    <w:rsid w:val="007C2DD9"/>
    <w:rsid w:val="007F7888"/>
    <w:rsid w:val="00801C71"/>
    <w:rsid w:val="0080218C"/>
    <w:rsid w:val="00810866"/>
    <w:rsid w:val="0084602E"/>
    <w:rsid w:val="00856A62"/>
    <w:rsid w:val="0086451E"/>
    <w:rsid w:val="00864B48"/>
    <w:rsid w:val="00884E44"/>
    <w:rsid w:val="00890BA1"/>
    <w:rsid w:val="0089215F"/>
    <w:rsid w:val="00894C1A"/>
    <w:rsid w:val="0089500D"/>
    <w:rsid w:val="008B2FF9"/>
    <w:rsid w:val="008E12F2"/>
    <w:rsid w:val="0092084E"/>
    <w:rsid w:val="00920C10"/>
    <w:rsid w:val="00925DDE"/>
    <w:rsid w:val="00936704"/>
    <w:rsid w:val="0094538C"/>
    <w:rsid w:val="00961CD5"/>
    <w:rsid w:val="00967F9F"/>
    <w:rsid w:val="009778B7"/>
    <w:rsid w:val="00984C14"/>
    <w:rsid w:val="009969D7"/>
    <w:rsid w:val="00996CC9"/>
    <w:rsid w:val="009A3BB0"/>
    <w:rsid w:val="009B743F"/>
    <w:rsid w:val="009F4F5D"/>
    <w:rsid w:val="00A41A78"/>
    <w:rsid w:val="00A6154C"/>
    <w:rsid w:val="00A8123E"/>
    <w:rsid w:val="00A9678B"/>
    <w:rsid w:val="00AA6E85"/>
    <w:rsid w:val="00AE0544"/>
    <w:rsid w:val="00B213EF"/>
    <w:rsid w:val="00B3174B"/>
    <w:rsid w:val="00B7169E"/>
    <w:rsid w:val="00B8254B"/>
    <w:rsid w:val="00B923DF"/>
    <w:rsid w:val="00BB245A"/>
    <w:rsid w:val="00BC55DF"/>
    <w:rsid w:val="00BF421E"/>
    <w:rsid w:val="00C2089A"/>
    <w:rsid w:val="00C21363"/>
    <w:rsid w:val="00C338B5"/>
    <w:rsid w:val="00C621D6"/>
    <w:rsid w:val="00C62CBF"/>
    <w:rsid w:val="00C867A3"/>
    <w:rsid w:val="00CA1386"/>
    <w:rsid w:val="00CA6CB7"/>
    <w:rsid w:val="00CA74E9"/>
    <w:rsid w:val="00CA7ED5"/>
    <w:rsid w:val="00CB319D"/>
    <w:rsid w:val="00CB540A"/>
    <w:rsid w:val="00CC01E6"/>
    <w:rsid w:val="00CD6313"/>
    <w:rsid w:val="00CE24B1"/>
    <w:rsid w:val="00CF09A4"/>
    <w:rsid w:val="00CF1742"/>
    <w:rsid w:val="00CF1885"/>
    <w:rsid w:val="00CF7A68"/>
    <w:rsid w:val="00D01C80"/>
    <w:rsid w:val="00D13A32"/>
    <w:rsid w:val="00D21645"/>
    <w:rsid w:val="00D2243E"/>
    <w:rsid w:val="00D23E8C"/>
    <w:rsid w:val="00D30AF8"/>
    <w:rsid w:val="00D34D42"/>
    <w:rsid w:val="00D43821"/>
    <w:rsid w:val="00D509B1"/>
    <w:rsid w:val="00D55FCD"/>
    <w:rsid w:val="00D96540"/>
    <w:rsid w:val="00DA09C4"/>
    <w:rsid w:val="00DD66DB"/>
    <w:rsid w:val="00DE1EDC"/>
    <w:rsid w:val="00DE4515"/>
    <w:rsid w:val="00DE5971"/>
    <w:rsid w:val="00E00AE9"/>
    <w:rsid w:val="00E15DC0"/>
    <w:rsid w:val="00E15E1C"/>
    <w:rsid w:val="00E17570"/>
    <w:rsid w:val="00E200A7"/>
    <w:rsid w:val="00E3046C"/>
    <w:rsid w:val="00E35226"/>
    <w:rsid w:val="00E41A37"/>
    <w:rsid w:val="00E63FC5"/>
    <w:rsid w:val="00E72A29"/>
    <w:rsid w:val="00E82182"/>
    <w:rsid w:val="00E84607"/>
    <w:rsid w:val="00EA05E1"/>
    <w:rsid w:val="00EB0A7C"/>
    <w:rsid w:val="00ED7B8E"/>
    <w:rsid w:val="00F03367"/>
    <w:rsid w:val="00F06BEC"/>
    <w:rsid w:val="00F2476A"/>
    <w:rsid w:val="00F30389"/>
    <w:rsid w:val="00F55BC6"/>
    <w:rsid w:val="00F60C5F"/>
    <w:rsid w:val="00F60CE2"/>
    <w:rsid w:val="00F623DA"/>
    <w:rsid w:val="00F67A4F"/>
    <w:rsid w:val="00F74127"/>
    <w:rsid w:val="00F953CD"/>
    <w:rsid w:val="00F95BCE"/>
    <w:rsid w:val="00FA47F1"/>
    <w:rsid w:val="00FC05B0"/>
    <w:rsid w:val="00FC5D11"/>
    <w:rsid w:val="00FD26E1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basedOn w:val="a0"/>
    <w:rsid w:val="00B213EF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34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4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86D51"/>
    <w:pPr>
      <w:spacing w:before="100" w:beforeAutospacing="1" w:after="100" w:afterAutospacing="1"/>
    </w:pPr>
    <w:rPr>
      <w:color w:val="auto"/>
    </w:rPr>
  </w:style>
  <w:style w:type="character" w:styleId="a7">
    <w:name w:val="Strong"/>
    <w:basedOn w:val="a0"/>
    <w:uiPriority w:val="22"/>
    <w:qFormat/>
    <w:rsid w:val="00686D51"/>
    <w:rPr>
      <w:b/>
      <w:bCs/>
    </w:rPr>
  </w:style>
  <w:style w:type="character" w:customStyle="1" w:styleId="apple-converted-space">
    <w:name w:val="apple-converted-space"/>
    <w:basedOn w:val="a0"/>
    <w:rsid w:val="00686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591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013">
          <w:marLeft w:val="300"/>
          <w:marRight w:val="300"/>
          <w:marTop w:val="300"/>
          <w:marBottom w:val="4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2114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3964</cp:lastModifiedBy>
  <cp:revision>4</cp:revision>
  <cp:lastPrinted>2019-05-27T12:53:00Z</cp:lastPrinted>
  <dcterms:created xsi:type="dcterms:W3CDTF">2019-07-25T05:47:00Z</dcterms:created>
  <dcterms:modified xsi:type="dcterms:W3CDTF">2019-07-26T07:34:00Z</dcterms:modified>
</cp:coreProperties>
</file>