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7A" w:rsidRPr="0095397A" w:rsidRDefault="0095397A" w:rsidP="00384E7E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539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95397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EDA8FA" wp14:editId="24786147">
            <wp:simplePos x="0" y="0"/>
            <wp:positionH relativeFrom="column">
              <wp:posOffset>2674620</wp:posOffset>
            </wp:positionH>
            <wp:positionV relativeFrom="paragraph">
              <wp:posOffset>-28575</wp:posOffset>
            </wp:positionV>
            <wp:extent cx="720090" cy="720090"/>
            <wp:effectExtent l="0" t="0" r="3810" b="3810"/>
            <wp:wrapNone/>
            <wp:docPr id="5" name="Рисунок 5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620"/>
        <w:tblW w:w="0" w:type="auto"/>
        <w:tblLook w:val="0000" w:firstRow="0" w:lastRow="0" w:firstColumn="0" w:lastColumn="0" w:noHBand="0" w:noVBand="0"/>
      </w:tblPr>
      <w:tblGrid>
        <w:gridCol w:w="4336"/>
        <w:gridCol w:w="1127"/>
        <w:gridCol w:w="4108"/>
      </w:tblGrid>
      <w:tr w:rsidR="0095397A" w:rsidRPr="0095397A" w:rsidTr="002A616F">
        <w:trPr>
          <w:cantSplit/>
          <w:trHeight w:val="420"/>
        </w:trPr>
        <w:tc>
          <w:tcPr>
            <w:tcW w:w="4336" w:type="dxa"/>
          </w:tcPr>
          <w:p w:rsidR="0095397A" w:rsidRPr="0095397A" w:rsidRDefault="0095397A" w:rsidP="00384E7E">
            <w:pPr>
              <w:pStyle w:val="a6"/>
              <w:tabs>
                <w:tab w:val="left" w:pos="428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539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95397A" w:rsidRPr="0095397A" w:rsidRDefault="0095397A" w:rsidP="00384E7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ÇĚМĚРЛЕ РАЙОНĚ</w:t>
            </w:r>
          </w:p>
        </w:tc>
        <w:tc>
          <w:tcPr>
            <w:tcW w:w="1127" w:type="dxa"/>
            <w:vMerge w:val="restart"/>
          </w:tcPr>
          <w:p w:rsidR="0095397A" w:rsidRPr="0095397A" w:rsidRDefault="0095397A" w:rsidP="00384E7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95397A" w:rsidRPr="0095397A" w:rsidRDefault="0095397A" w:rsidP="00384E7E">
            <w:pPr>
              <w:pStyle w:val="a6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539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  <w:p w:rsidR="0095397A" w:rsidRPr="0095397A" w:rsidRDefault="0095397A" w:rsidP="00384E7E">
            <w:pPr>
              <w:pStyle w:val="a6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9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ШУМЕРЛИНСКИЙ</w:t>
            </w:r>
            <w:r w:rsidRPr="0095397A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539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РАЙОН  </w:t>
            </w:r>
          </w:p>
        </w:tc>
      </w:tr>
      <w:tr w:rsidR="0095397A" w:rsidRPr="0095397A" w:rsidTr="002A616F">
        <w:trPr>
          <w:cantSplit/>
          <w:trHeight w:val="2355"/>
        </w:trPr>
        <w:tc>
          <w:tcPr>
            <w:tcW w:w="4336" w:type="dxa"/>
          </w:tcPr>
          <w:p w:rsidR="0095397A" w:rsidRPr="0095397A" w:rsidRDefault="0095397A" w:rsidP="00384E7E">
            <w:pPr>
              <w:pStyle w:val="a6"/>
              <w:tabs>
                <w:tab w:val="left" w:pos="428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5397A" w:rsidRPr="0095397A" w:rsidRDefault="0095397A" w:rsidP="00384E7E">
            <w:pPr>
              <w:pStyle w:val="a6"/>
              <w:tabs>
                <w:tab w:val="left" w:pos="4285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539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ЮМАНАЙ ЯЛ ПОСЕЛЕНИЙĚН </w:t>
            </w:r>
          </w:p>
          <w:p w:rsidR="0095397A" w:rsidRPr="0095397A" w:rsidRDefault="0095397A" w:rsidP="00384E7E">
            <w:pPr>
              <w:pStyle w:val="a6"/>
              <w:tabs>
                <w:tab w:val="left" w:pos="4285"/>
              </w:tabs>
              <w:spacing w:line="20" w:lineRule="atLeast"/>
              <w:jc w:val="center"/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539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  <w:r w:rsidRPr="0095397A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  <w:p w:rsidR="0095397A" w:rsidRPr="0095397A" w:rsidRDefault="0095397A" w:rsidP="00384E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7A" w:rsidRPr="0095397A" w:rsidRDefault="0095397A" w:rsidP="00384E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7A" w:rsidRPr="0095397A" w:rsidRDefault="0095397A" w:rsidP="00384E7E">
            <w:pPr>
              <w:pStyle w:val="a6"/>
              <w:tabs>
                <w:tab w:val="left" w:pos="4285"/>
              </w:tabs>
              <w:spacing w:line="20" w:lineRule="atLeast"/>
              <w:jc w:val="center"/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5397A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ЙЫШĂНУ</w:t>
            </w:r>
          </w:p>
          <w:p w:rsidR="0095397A" w:rsidRPr="0095397A" w:rsidRDefault="0095397A" w:rsidP="00384E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7A" w:rsidRPr="0095397A" w:rsidRDefault="00B119F2" w:rsidP="00384E7E">
            <w:pPr>
              <w:pStyle w:val="a6"/>
              <w:spacing w:line="20" w:lineRule="atLeast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17.04.</w:t>
            </w:r>
            <w:r w:rsidR="0095397A" w:rsidRPr="0095397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2019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34</w:t>
            </w:r>
            <w:r w:rsidR="0095397A" w:rsidRPr="0095397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95397A" w:rsidRPr="0095397A" w:rsidRDefault="0095397A" w:rsidP="00384E7E">
            <w:pPr>
              <w:spacing w:after="0" w:line="2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397A">
              <w:rPr>
                <w:rFonts w:ascii="Times New Roman" w:hAnsi="Times New Roman" w:cs="Times New Roman"/>
                <w:noProof/>
                <w:sz w:val="24"/>
                <w:szCs w:val="24"/>
              </w:rPr>
              <w:t>Юманай сали</w:t>
            </w:r>
          </w:p>
        </w:tc>
        <w:tc>
          <w:tcPr>
            <w:tcW w:w="1127" w:type="dxa"/>
            <w:vMerge/>
          </w:tcPr>
          <w:p w:rsidR="0095397A" w:rsidRPr="0095397A" w:rsidRDefault="0095397A" w:rsidP="00384E7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95397A" w:rsidRPr="0095397A" w:rsidRDefault="0095397A" w:rsidP="00384E7E">
            <w:pPr>
              <w:pStyle w:val="a6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5397A" w:rsidRPr="0095397A" w:rsidRDefault="0095397A" w:rsidP="00384E7E">
            <w:pPr>
              <w:pStyle w:val="a6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539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АДМИНИСТРАЦИЯ</w:t>
            </w:r>
          </w:p>
          <w:p w:rsidR="0095397A" w:rsidRPr="0095397A" w:rsidRDefault="0095397A" w:rsidP="00384E7E">
            <w:pPr>
              <w:pStyle w:val="a6"/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539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ЮМАНАЙСКОГО СЕЛЬСКОГО</w:t>
            </w:r>
          </w:p>
          <w:p w:rsidR="0095397A" w:rsidRPr="0095397A" w:rsidRDefault="0095397A" w:rsidP="00384E7E">
            <w:pPr>
              <w:pStyle w:val="a6"/>
              <w:spacing w:line="2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397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ПОСЕЛЕНИЯ</w:t>
            </w:r>
            <w:r w:rsidRPr="0095397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5397A" w:rsidRPr="0095397A" w:rsidRDefault="0095397A" w:rsidP="00384E7E">
            <w:pPr>
              <w:pStyle w:val="a6"/>
              <w:spacing w:line="20" w:lineRule="atLeast"/>
              <w:jc w:val="center"/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  <w:p w:rsidR="0095397A" w:rsidRPr="0095397A" w:rsidRDefault="0095397A" w:rsidP="00384E7E">
            <w:pPr>
              <w:pStyle w:val="a6"/>
              <w:spacing w:line="20" w:lineRule="atLeast"/>
              <w:jc w:val="center"/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95397A">
              <w:rPr>
                <w:rStyle w:val="a7"/>
                <w:rFonts w:ascii="Times New Roman" w:hAnsi="Times New Roman" w:cs="Times New Roman"/>
                <w:bCs/>
                <w:noProof/>
                <w:sz w:val="24"/>
                <w:szCs w:val="24"/>
              </w:rPr>
              <w:t>ПОСТАНОВЛЕНИЕ</w:t>
            </w:r>
          </w:p>
          <w:p w:rsidR="0095397A" w:rsidRPr="0095397A" w:rsidRDefault="0095397A" w:rsidP="00384E7E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97A" w:rsidRPr="0095397A" w:rsidRDefault="0095397A" w:rsidP="00384E7E">
            <w:pPr>
              <w:spacing w:after="0" w:line="2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397A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 w:rsidRPr="0095397A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 w:rsidRPr="0095397A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 w:rsidRPr="0095397A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 w:rsidRPr="0095397A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 w:rsidRPr="0095397A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 w:rsidRPr="0095397A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 w:rsidRPr="0095397A">
              <w:rPr>
                <w:rFonts w:ascii="Times New Roman" w:hAnsi="Times New Roman" w:cs="Times New Roman"/>
                <w:noProof/>
                <w:sz w:val="24"/>
                <w:szCs w:val="24"/>
              </w:rPr>
              <w:softHyphen/>
            </w:r>
            <w:r w:rsidR="00B119F2">
              <w:rPr>
                <w:rFonts w:ascii="Times New Roman" w:hAnsi="Times New Roman" w:cs="Times New Roman"/>
                <w:noProof/>
                <w:sz w:val="24"/>
                <w:szCs w:val="24"/>
              </w:rPr>
              <w:t>17.04.</w:t>
            </w:r>
            <w:r w:rsidRPr="0095397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2019   № </w:t>
            </w:r>
            <w:r w:rsidR="00B119F2">
              <w:rPr>
                <w:rFonts w:ascii="Times New Roman" w:hAnsi="Times New Roman" w:cs="Times New Roman"/>
                <w:noProof/>
                <w:sz w:val="24"/>
                <w:szCs w:val="24"/>
              </w:rPr>
              <w:t>34</w:t>
            </w:r>
          </w:p>
          <w:p w:rsidR="0095397A" w:rsidRPr="0095397A" w:rsidRDefault="0095397A" w:rsidP="00384E7E">
            <w:pPr>
              <w:spacing w:after="0" w:line="20" w:lineRule="atLeast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5397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с. Юманай   </w:t>
            </w:r>
          </w:p>
        </w:tc>
      </w:tr>
    </w:tbl>
    <w:p w:rsidR="0095397A" w:rsidRPr="0095397A" w:rsidRDefault="0095397A" w:rsidP="00384E7E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95397A" w:rsidRPr="0095397A" w:rsidRDefault="0095397A" w:rsidP="0095397A">
      <w:pPr>
        <w:rPr>
          <w:rFonts w:ascii="Times New Roman" w:hAnsi="Times New Roman" w:cs="Times New Roman"/>
          <w:sz w:val="24"/>
          <w:szCs w:val="24"/>
        </w:rPr>
      </w:pPr>
    </w:p>
    <w:p w:rsidR="0095397A" w:rsidRDefault="0095397A" w:rsidP="0095397A"/>
    <w:p w:rsidR="0095397A" w:rsidRDefault="0095397A" w:rsidP="0095397A">
      <w:pPr>
        <w:shd w:val="clear" w:color="auto" w:fill="FFFFFF"/>
        <w:spacing w:after="0" w:line="288" w:lineRule="atLeast"/>
        <w:ind w:right="538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Порядка проведения оценки эффективности управления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муниципальными унитарными предприятиями, осуществляющими деятельность в сфере жилищно-коммунального хозяйства </w:t>
      </w:r>
      <w:r w:rsidR="00384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Юманайского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Шумерлинского района</w:t>
      </w:r>
    </w:p>
    <w:p w:rsidR="0095397A" w:rsidRDefault="0095397A" w:rsidP="0095397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95397A" w:rsidRDefault="0095397A" w:rsidP="00384E7E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Руководствуясь 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Федеральным законом от 14 ноября 2002 года № 161-ФЗ «О государственных и муниципальных унитарных предприятиях»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приказом Минэкономразвития России и Минстроя России от 7 июля 2014 года N 373/</w:t>
        </w:r>
        <w:proofErr w:type="spellStart"/>
        <w:proofErr w:type="gramStart"/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</w:t>
        </w:r>
        <w:proofErr w:type="spellEnd"/>
        <w:proofErr w:type="gramEnd"/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 xml:space="preserve">/428 «Об утверждении методических рекомендаций по установлению рекомендуемых показателей эффективности управления государственными и муниципальными предприятиями, осуществляющими деятельность в сфере жилищно-коммунального хозяйства, и рекомендуемых критериев оценки эффективности управления государственными и муниципальными предприятиями, </w:t>
        </w:r>
        <w:proofErr w:type="gramStart"/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осуществляющими</w:t>
        </w:r>
        <w:proofErr w:type="gramEnd"/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 xml:space="preserve"> деятельность в сфере жилищно-коммунального хозяйства»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:rsidR="00384E7E" w:rsidRDefault="00384E7E" w:rsidP="00384E7E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5397A" w:rsidRDefault="0095397A" w:rsidP="00384E7E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Администрация </w:t>
      </w:r>
      <w:r w:rsidR="00384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Юманайского сельского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с т а н о в л я е т:</w:t>
      </w:r>
    </w:p>
    <w:p w:rsidR="00384E7E" w:rsidRDefault="00384E7E" w:rsidP="00384E7E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5397A" w:rsidRDefault="0095397A" w:rsidP="00384E7E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Утвердить Порядок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 </w:t>
      </w:r>
      <w:r w:rsidR="00384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Юманайского сельского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 Шумерлинского района, согласно приложению к настоящему постановлению.</w:t>
      </w:r>
    </w:p>
    <w:p w:rsidR="0095397A" w:rsidRDefault="0095397A" w:rsidP="00384E7E">
      <w:pPr>
        <w:shd w:val="clear" w:color="auto" w:fill="FFFFFF"/>
        <w:spacing w:after="0" w:line="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Настоящее постановление вступает в силу после его официального опубликования в информационном издании «Вестник </w:t>
      </w:r>
      <w:r w:rsidR="00384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Юманайского сельского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поселения» и подлежит размещению на официальном сайте </w:t>
      </w:r>
      <w:r w:rsidR="00384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Юманайского сельского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 в сети Интернет.</w:t>
      </w:r>
    </w:p>
    <w:p w:rsidR="0095397A" w:rsidRDefault="0095397A" w:rsidP="00384E7E">
      <w:pPr>
        <w:shd w:val="clear" w:color="auto" w:fill="FFFFFF"/>
        <w:spacing w:after="0" w:line="2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4E7E" w:rsidRDefault="00384E7E" w:rsidP="00384E7E">
      <w:pPr>
        <w:shd w:val="clear" w:color="auto" w:fill="FFFFFF"/>
        <w:spacing w:after="0" w:line="2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4E7E" w:rsidRDefault="0095397A" w:rsidP="00384E7E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</w:t>
      </w:r>
      <w:r w:rsidR="00384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Юманайского</w:t>
      </w:r>
    </w:p>
    <w:p w:rsidR="0095397A" w:rsidRDefault="0095397A" w:rsidP="00384E7E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r w:rsidR="00384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О.П. Яковлев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95397A" w:rsidRDefault="0095397A" w:rsidP="00384E7E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384E7E" w:rsidRDefault="0095397A" w:rsidP="00384E7E">
      <w:pPr>
        <w:shd w:val="clear" w:color="auto" w:fill="FFFFFF"/>
        <w:spacing w:after="0" w:line="315" w:lineRule="atLeast"/>
        <w:ind w:left="581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</w:p>
    <w:p w:rsidR="00384E7E" w:rsidRDefault="0095397A" w:rsidP="00384E7E">
      <w:pPr>
        <w:shd w:val="clear" w:color="auto" w:fill="FFFFFF"/>
        <w:spacing w:after="0" w:line="315" w:lineRule="atLeast"/>
        <w:ind w:left="581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постановлению администрации </w:t>
      </w:r>
      <w:r w:rsidR="00384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Юманайского сельского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 </w:t>
      </w:r>
    </w:p>
    <w:p w:rsidR="0095397A" w:rsidRDefault="0095397A" w:rsidP="00384E7E">
      <w:pPr>
        <w:shd w:val="clear" w:color="auto" w:fill="FFFFFF"/>
        <w:spacing w:after="0" w:line="315" w:lineRule="atLeast"/>
        <w:ind w:left="5812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B119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17.04.2019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№ </w:t>
      </w:r>
      <w:r w:rsidR="00B119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34</w:t>
      </w:r>
      <w:bookmarkStart w:id="0" w:name="_GoBack"/>
      <w:bookmarkEnd w:id="0"/>
    </w:p>
    <w:p w:rsidR="0095397A" w:rsidRDefault="0095397A" w:rsidP="0095397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Настоящий Порядок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 (далее - Порядок) разработан в соответствии с совместным 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приказом Минэкономразвития России и Минстроя России от 07.07.2014 N 373/</w:t>
        </w:r>
        <w:proofErr w:type="spellStart"/>
        <w:proofErr w:type="gramStart"/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</w:t>
        </w:r>
        <w:proofErr w:type="spellEnd"/>
        <w:proofErr w:type="gramEnd"/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/428 «Об утверждении Методических рекомендаций по установлению рекомендуемых показателей эффективности управления государственными и муниципальными предприятиями, осуществляющими деятельность в сфере жилищно-коммунального хозяйства, и рекомендуемых критериев оценки эффективности управления государственными и муниципальными предприятиями, осуществляющими деятельность в сфере жилищно-коммунального хозяйства»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разработан в целях проведения оценки эффективности управления предприятиями за отчетный период (календарный год) и привлечения в жилищно-коммунальное хозяйство частных инвестиций.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итоге проведения оценки будут выявлены муниципальные унитарные предприятия, по которым осуществляется неэффективное управление. А также составлен график передачи в концессию (аренду, привлечения частных инвестиций и т.д.) объектов жилищно-коммунального хозяйства муниципальных предприятий, осуществляющих неэффективное управление.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распространяется на муниципальные унитарные предприятия, осуществляющие деятельность в сфере жилищно-коммунального хозяйства (далее - предприятия), за исключением предприятий, осуществляющих управление многоквартирными домами, а также оказывающих услуги и (или) выполняющих работы по содержанию и ремонту общего имущества в многоквартирных домах.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Процедура оценки включает в себя: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Сбор данных, характеризующих эффективность управления предприятиями;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Мониторинг оценки эффективности управления предприятиями, подразумевающий систематизацию и анализ представленной информации.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Проведение оценки эффективности управления муниципальными унитарными предприятиями, осуществляющими деятельность в сфере жилищно-коммунального хозяйства (далее - муниципальные предприятия):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Оценка эффективности управления муниципальными предприятиями проводится на основе представленных сведений согласно приложениям №№ 1, 2, 3, 4 к настоящему Порядку.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Оценка эффективности деятельности муниципальных предприятий производится по каждому предприятию, не находящемуся в процессе ликвидации, реорганизации или банкротства.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Ответственный исполнитель по проведению оценки эффективности управления муниципальных унитарных предприятий (далее - Ответственный исполнитель) в соответствии с приложением № 4 осуществляет: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сбор данных о фактически достигнутых величинах показателей эффективности управления муниципальными предприятиями;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оценку эффективности управления муниципальными предприятиями в соответствии с настоящим Порядком;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представление Главе </w:t>
      </w:r>
      <w:r w:rsidR="00384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Юманайского сельского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поселения: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результатов оценки эффективности управления муниципальными предприятиями согласно настоящему Порядку в срок, установленный графиком проведения процедур по оценке эффективности управления муниципальными унитарными предприятиями, осуществляющими деятельность в сфере жилищно-коммунального хозяйства;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графика передачи в концессию (аренду, привлечения частных инвестиций и т.д.) объектов жилищно-коммунального хозяйства муниципальных предприятий, осуществляющих неэффективное управление.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Оценка эффективности производится по итогам деятельности муниципальных унитарных предприятий за отчетный период (календарный год) в соответствии с графиком проведения процедур по оценке эффективности управления муниципальными унитарными предприятиями, осуществляющими деятельность в сфере жилищно-коммунального хозяйства.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Датой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окончания проведения оценки эффективности управления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муниципальными унитарными предприятиями считается дата представления Ответственным исполнителем результатов оценки главе </w:t>
      </w:r>
      <w:r w:rsidR="00384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Юманайского сельского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поселения.</w:t>
      </w:r>
    </w:p>
    <w:p w:rsidR="0095397A" w:rsidRDefault="0095397A" w:rsidP="0095397A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95397A" w:rsidRDefault="0095397A" w:rsidP="0095397A">
      <w:pPr>
        <w:shd w:val="clear" w:color="auto" w:fill="FFFFFF"/>
        <w:spacing w:after="0" w:line="315" w:lineRule="atLeast"/>
        <w:ind w:left="567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№ 1 к Порядку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95397A" w:rsidRDefault="0095397A" w:rsidP="009539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Форма оценки эффективности управления муниципальными унитарными предприятиями,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осуществляющим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деятельность в сфере жилищно-коммунального хозяйства (показатели)</w:t>
      </w:r>
    </w:p>
    <w:p w:rsidR="0095397A" w:rsidRDefault="0095397A" w:rsidP="00384E7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(наименование организации)</w:t>
      </w:r>
    </w:p>
    <w:tbl>
      <w:tblPr>
        <w:tblW w:w="10182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6916"/>
        <w:gridCol w:w="1590"/>
        <w:gridCol w:w="1078"/>
      </w:tblGrid>
      <w:tr w:rsidR="0095397A" w:rsidTr="0095397A">
        <w:trPr>
          <w:trHeight w:val="15"/>
        </w:trPr>
        <w:tc>
          <w:tcPr>
            <w:tcW w:w="598" w:type="dxa"/>
            <w:hideMark/>
          </w:tcPr>
          <w:p w:rsidR="0095397A" w:rsidRDefault="0095397A">
            <w:pPr>
              <w:rPr>
                <w:rFonts w:cs="Times New Roman"/>
              </w:rPr>
            </w:pPr>
          </w:p>
        </w:tc>
        <w:tc>
          <w:tcPr>
            <w:tcW w:w="6916" w:type="dxa"/>
            <w:hideMark/>
          </w:tcPr>
          <w:p w:rsidR="0095397A" w:rsidRDefault="0095397A">
            <w:pPr>
              <w:rPr>
                <w:rFonts w:cs="Times New Roman"/>
              </w:rPr>
            </w:pPr>
          </w:p>
        </w:tc>
        <w:tc>
          <w:tcPr>
            <w:tcW w:w="1590" w:type="dxa"/>
            <w:hideMark/>
          </w:tcPr>
          <w:p w:rsidR="0095397A" w:rsidRDefault="0095397A">
            <w:pPr>
              <w:rPr>
                <w:rFonts w:cs="Times New Roman"/>
              </w:rPr>
            </w:pPr>
          </w:p>
        </w:tc>
        <w:tc>
          <w:tcPr>
            <w:tcW w:w="1078" w:type="dxa"/>
            <w:hideMark/>
          </w:tcPr>
          <w:p w:rsidR="0095397A" w:rsidRDefault="0095397A">
            <w:pPr>
              <w:rPr>
                <w:rFonts w:cs="Times New Roman"/>
              </w:rPr>
            </w:pPr>
          </w:p>
        </w:tc>
      </w:tr>
      <w:tr w:rsidR="0095397A" w:rsidTr="0095397A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баллы оценки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оценки</w:t>
            </w:r>
          </w:p>
        </w:tc>
      </w:tr>
      <w:tr w:rsidR="0095397A" w:rsidTr="0095397A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выполнение плановых показателей надежности, качества и энергетической эффективности в соответствии с законодательством Российской Федерации за отчетный период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/>
              <w:rPr>
                <w:rFonts w:cs="Times New Roman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/>
              <w:rPr>
                <w:rFonts w:cs="Times New Roman"/>
              </w:rPr>
            </w:pPr>
          </w:p>
        </w:tc>
      </w:tr>
      <w:tr w:rsidR="0095397A" w:rsidTr="0095397A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наличии производственной и (или) инвестиционной программы предприятия, содержащей показатели надежности, качества и энергетической эффективности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 если в ходе реализации производственной и (или) инвестиционной программы предприятия не достигнуты показатели надежности, качества и энергетической эффективности за отчетный период;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 если в ходе реализации производственной и (или) инвестиционной программы предприятия достигнуты показатели надежности, качества и энергетической эффективности за отчетный период;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0; 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/>
              <w:rPr>
                <w:rFonts w:cs="Times New Roman"/>
              </w:rPr>
            </w:pPr>
          </w:p>
        </w:tc>
      </w:tr>
      <w:tr w:rsidR="0095397A" w:rsidTr="0095397A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отсутствии инвестиционной программы предприятия либо в случае, если инвестиционная и (или) производственная программа предприятия не содержит показатели надежности, качества и энергетической эффективности: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 если количество неисполненных в срок предписаний уполномоченного надзорного органа о несоблюдении установленных требований к качеству превышает одно предписание;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 если количество неисполненных в срок предписаний уполномоченного надзорного органа о несоблюдении установленных требований к качеству не превышает одного предписания;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0; 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/>
              <w:rPr>
                <w:rFonts w:cs="Times New Roman"/>
              </w:rPr>
            </w:pPr>
          </w:p>
        </w:tc>
      </w:tr>
      <w:tr w:rsidR="0095397A" w:rsidTr="0095397A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наличие нецелевого использования бюджетных средств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Пнецелев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Пнецелев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 если проверка целевого использования бюджетных средств за отчетный год, не выявила нецелевое использование бюджетных средств за отчетный год;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Пнецелев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 если проверка целевого использования бюджетных средств за отчетный год, выявила нецелевое использование бюджетных средств за отчетный год;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0; 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/>
              <w:rPr>
                <w:rFonts w:cs="Times New Roman"/>
              </w:rPr>
            </w:pPr>
          </w:p>
        </w:tc>
      </w:tr>
      <w:tr w:rsidR="0095397A" w:rsidTr="0095397A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соблюдение установленных в соответствии с законодательством Российской Федерации сроков рассмотрения жалоб от заявителей на ненадлежащее качество услуг, оказываемых предприятием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Nобр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где: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показатель соблюдения установленных сроков рассмотрения жалоб от заявителей на ненадлежащее качество услуг, оказываемых предприятием.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число жалоб потребителей услуг на ненадлежащее качество услуг, по которым предприятием в соответствующий отчетный период направлен ответ потребителю с нарушением сроков, установленных в соответствии с нормативными актами, стандартами обслуживания клиентов указанных предприятий, организационно-распределительными документами (шт.).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Nобр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 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Nобр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B1C624B" wp14:editId="7AF392D0">
                      <wp:extent cx="108585" cy="135890"/>
                      <wp:effectExtent l="0" t="0" r="5715" b="0"/>
                      <wp:docPr id="4" name="Прямоугольник 4" descr="О ПОРЯДКЕ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 ГОРОДСКОГО ОКРУГ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" o:spid="_x0000_s1026" alt="О ПОРЯДКЕ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 ГОРОДСКОГО ОКРУГА " style="width:8.5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0; 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/>
              <w:rPr>
                <w:rFonts w:cs="Times New Roman"/>
              </w:rPr>
            </w:pPr>
          </w:p>
        </w:tc>
      </w:tr>
      <w:tr w:rsidR="0095397A" w:rsidTr="0095397A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оборачиваемость кредиторской задолженности предприятия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= 0, если оборачиваемость кредиторской задолженности &gt; 40 (дней);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По.к.з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(=) 1, если оборачиваемость кредиторской задолженности 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D541EE9" wp14:editId="4F32B978">
                      <wp:extent cx="108585" cy="135890"/>
                      <wp:effectExtent l="0" t="0" r="5715" b="0"/>
                      <wp:docPr id="3" name="Прямоугольник 3" descr="О ПОРЯДКЕ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 ГОРОДСКОГО ОКРУГ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О ПОРЯДКЕ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 ГОРОДСКОГО ОКРУГА " style="width:8.5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(дней); где: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- показатель, характеризующий оборачиваемость кредиторской задолженности предприятия, как отношение кредиторской задолженности к выручке от реализации по основному виду деятельности, умноженное на количество дней в отчетном периоде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0; 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/>
              <w:rPr>
                <w:rFonts w:cs="Times New Roman"/>
              </w:rPr>
            </w:pPr>
          </w:p>
        </w:tc>
      </w:tr>
      <w:tr w:rsidR="0095397A" w:rsidTr="0095397A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отсутствие аварийных ситуаций, ликвидированных с нарушением нормативных сроков, установленных законодательством Российской Федерации и нормативно-технической документацией, за отчетный период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Пл.ав.с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Пл.ав.с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где: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Пл.ав.с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показатель, характеризующий отсутствие аварийных ситуаций, ликвидированных с нарушением нормативных сроков за отчетный период;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аварийных ситуаций, ликвидированных с нарушением нормативных сроков за отчетный период (не учитываются аварийные ситуации, возникновение которых обусловлено обстоятельствами непреодолимой силы).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ар.ср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0, 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Пл.ав.с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Кав.нар.ср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8020EED" wp14:editId="32038E3D">
                      <wp:extent cx="108585" cy="135890"/>
                      <wp:effectExtent l="0" t="0" r="5715" b="0"/>
                      <wp:docPr id="2" name="Прямоугольник 2" descr="О ПОРЯДКЕ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 ГОРОДСКОГО ОКРУГА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58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 ПОРЯДКЕ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 ГОРОДСКОГО ОКРУГА " style="width:8.5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Пл.ав.с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0; 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/>
              <w:rPr>
                <w:rFonts w:cs="Times New Roman"/>
              </w:rPr>
            </w:pPr>
          </w:p>
        </w:tc>
      </w:tr>
      <w:tr w:rsidR="0095397A" w:rsidTr="0095397A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соблюдение предприятием требований к раскрытию информации в соответствии со стандартами раскрытия информации, утвержденными Правительством Российской Федерации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Псстанд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Псстанд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(=) 0,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составляет два и более раз за отчетный период;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Псстанд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 если 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составляет менее двух раз за отчетный период</w:t>
            </w:r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0; 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/>
              <w:rPr>
                <w:rFonts w:cs="Times New Roman"/>
              </w:rPr>
            </w:pPr>
          </w:p>
        </w:tc>
      </w:tr>
      <w:tr w:rsidR="0095397A" w:rsidTr="0095397A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наличие финансовой поддержки предприятия за счет средств субъекта Российской Федерации (органов местного самоуправления на покрытие операционных расходов предприятия за отчетный период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за исключением установленных законодательством Российской Федерации случаев возмещения недополученных доходов, при осуществлении регулируемых видов деятельности предприятием: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= 0, если за счет средств субъекта Российской Федерации (органа местного самоуправления) в отчетном периоде оказывалась финансовая поддержка предприятия на покрытие операционных расходов предприятия два и более раза;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(=) 1, если финансовая поддержка предприятия на покрытие его операционных расходов за счет средств субъекта Российской федерации (органа местного самоуправления) в отчетном периоде не оказывалась или оказывалась не более одного раза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0; 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/>
              <w:rPr>
                <w:rFonts w:cs="Times New Roman"/>
              </w:rPr>
            </w:pPr>
          </w:p>
        </w:tc>
      </w:tr>
      <w:tr w:rsidR="0095397A" w:rsidTr="0095397A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/>
              <w:rPr>
                <w:rFonts w:cs="Times New Roman"/>
              </w:rPr>
            </w:pP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управления предприятием /Общая сумма баллов оценки / Число критериев, применимых к предприятию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/>
              <w:rPr>
                <w:rFonts w:cs="Times New Roman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/>
              <w:rPr>
                <w:rFonts w:cs="Times New Roman"/>
              </w:rPr>
            </w:pPr>
          </w:p>
        </w:tc>
      </w:tr>
    </w:tbl>
    <w:p w:rsidR="0095397A" w:rsidRDefault="0095397A" w:rsidP="0095397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Глава _____________ сельского поселения         ____________ ____________________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</w:t>
      </w:r>
      <w:r w:rsidR="00384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(подпись) </w:t>
      </w:r>
      <w:r w:rsidR="00384E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(инициалы, фамилия)</w:t>
      </w:r>
    </w:p>
    <w:p w:rsidR="0095397A" w:rsidRDefault="0095397A" w:rsidP="0095397A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95397A" w:rsidRDefault="0095397A" w:rsidP="0095397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5397A" w:rsidRDefault="0095397A" w:rsidP="0095397A">
      <w:pPr>
        <w:shd w:val="clear" w:color="auto" w:fill="FFFFFF"/>
        <w:spacing w:after="0" w:line="240" w:lineRule="auto"/>
        <w:ind w:left="567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№ 2 к Порядку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</w:t>
      </w:r>
    </w:p>
    <w:p w:rsidR="0095397A" w:rsidRDefault="0095397A" w:rsidP="0095397A">
      <w:pPr>
        <w:shd w:val="clear" w:color="auto" w:fill="FFFFFF"/>
        <w:spacing w:after="0" w:line="240" w:lineRule="auto"/>
        <w:ind w:left="5670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5397A" w:rsidRDefault="0095397A" w:rsidP="009539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Дополнительные критерии оценки эффективности управления муниципальными унитарными предприятиями, осуществляющими деятельность в сфере жилищно-коммунального хозяйства</w:t>
      </w:r>
    </w:p>
    <w:p w:rsidR="0095397A" w:rsidRDefault="0095397A" w:rsidP="0095397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 Управление муниципальным унитарным предприятием, осуществляющим деятельность в сфере жилищно-коммунального хозяйства (далее - предприятие), признается неэффективным в случае, если выявляется его соответствие любому из нижеуказанных критериев:</w:t>
      </w:r>
    </w:p>
    <w:p w:rsidR="0095397A" w:rsidRDefault="0095397A" w:rsidP="0095397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наличие у предприятия убытка от основной деятельности за последние три отчетных периода;</w:t>
      </w:r>
    </w:p>
    <w:p w:rsidR="0095397A" w:rsidRDefault="0095397A" w:rsidP="0095397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несоответствие качества предоставляемых услуг в сфере теплоснабжения (предоставления услуги по отоплению), водоснабжения и водоотведения законодательно установленным нормам.</w:t>
      </w:r>
    </w:p>
    <w:p w:rsidR="0095397A" w:rsidRDefault="0095397A" w:rsidP="0095397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В случае оказания услуг по всем видам коммунальных ресурсов (услуг) управление предприятием признается неэффективным в случае выявления вышеуказанных нарушений хотя бы по одному виду ресурса (услуги).</w:t>
      </w:r>
    </w:p>
    <w:p w:rsidR="0095397A" w:rsidRDefault="0095397A" w:rsidP="0095397A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95397A" w:rsidRDefault="0095397A" w:rsidP="0095397A">
      <w:pPr>
        <w:shd w:val="clear" w:color="auto" w:fill="FFFFFF"/>
        <w:spacing w:after="0" w:line="315" w:lineRule="atLeast"/>
        <w:ind w:left="567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N 3 к Порядку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 </w:t>
      </w:r>
    </w:p>
    <w:p w:rsidR="0095397A" w:rsidRDefault="0095397A" w:rsidP="0095397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5397A" w:rsidRDefault="0095397A" w:rsidP="009539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Проведение оценки эффективности управления муниципальными унитарными предприятиями, осуществляющими деятельность в сфере жилищно-коммунального хозяйства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Рекомендуется проводить оценку эффективности управления муниципальными унитарными предприятиями, осуществляющими деятельность в сфере жилищно-коммунального хозяйства (далее - Предприятие), с учетом дополнительных критериев, а также показателей оценки эффективности управления Предприятием, установленных настоящим постановлением, по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однобалльной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системе значений: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1 до 0,8 баллов - эффективное управление Предприятием;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0,8 до 0,6 баллов - достаточно эффективное управление Предприятием; 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0,6 до 0,4 баллов - условно-эффективное управление Предприятием с необходимостью совершенствования по отдельным направлениям деятельности;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0,4 до 0,2 баллов - низкий уровень эффективности управления Предприятием;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ниже 0,2 баллов - неэффективное управление Предприятием.</w:t>
      </w:r>
    </w:p>
    <w:p w:rsidR="0095397A" w:rsidRDefault="0095397A" w:rsidP="0095397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Расчет итогового показателя эффективности управления Предприятием определяется по формуле:</w:t>
      </w:r>
    </w:p>
    <w:p w:rsidR="0095397A" w:rsidRDefault="0095397A" w:rsidP="0095397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  <w:lang w:eastAsia="ru-RU"/>
        </w:rPr>
        <w:drawing>
          <wp:inline distT="0" distB="0" distL="0" distR="0" wp14:anchorId="4D748277" wp14:editId="09BDF3F0">
            <wp:extent cx="1014095" cy="371475"/>
            <wp:effectExtent l="0" t="0" r="0" b="9525"/>
            <wp:docPr id="1" name="Рисунок 1" descr="О ПОРЯДКЕ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 ГОРОДСКОГО ОКРУГ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 ПОРЯДКЕ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 ГОРОДСКОГО ОКРУГА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:rsidR="0095397A" w:rsidRDefault="0095397A" w:rsidP="0095397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где: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n - количество показателей.</w:t>
      </w:r>
    </w:p>
    <w:p w:rsidR="0095397A" w:rsidRDefault="0095397A" w:rsidP="0095397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Рекомендуемый показатель считается исполненным, если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= 1.</w:t>
      </w:r>
    </w:p>
    <w:p w:rsidR="0095397A" w:rsidRDefault="0095397A" w:rsidP="0095397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Рекомендуемый показатель считается неисполненным, если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= 0.</w:t>
      </w:r>
    </w:p>
    <w:p w:rsidR="0095397A" w:rsidRDefault="0095397A" w:rsidP="0095397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5397A" w:rsidRDefault="0095397A" w:rsidP="0095397A">
      <w:pP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 w:type="page"/>
      </w:r>
    </w:p>
    <w:p w:rsidR="0095397A" w:rsidRDefault="0095397A" w:rsidP="0095397A">
      <w:pPr>
        <w:shd w:val="clear" w:color="auto" w:fill="FFFFFF"/>
        <w:spacing w:after="0" w:line="315" w:lineRule="atLeast"/>
        <w:ind w:left="567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N 4 к Порядку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</w:t>
      </w:r>
    </w:p>
    <w:p w:rsidR="0095397A" w:rsidRDefault="0095397A" w:rsidP="0095397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5397A" w:rsidRDefault="0095397A" w:rsidP="0095397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График проведения оценки эффективности управления муниципальными унитарными предприятиями, осуществляющими деятельность в сфере жилищно-коммунального хозяйства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6879"/>
        <w:gridCol w:w="2171"/>
      </w:tblGrid>
      <w:tr w:rsidR="0095397A" w:rsidTr="0095397A">
        <w:trPr>
          <w:trHeight w:val="15"/>
        </w:trPr>
        <w:tc>
          <w:tcPr>
            <w:tcW w:w="739" w:type="dxa"/>
            <w:hideMark/>
          </w:tcPr>
          <w:p w:rsidR="0095397A" w:rsidRDefault="0095397A">
            <w:pPr>
              <w:rPr>
                <w:rFonts w:cs="Times New Roman"/>
              </w:rPr>
            </w:pPr>
          </w:p>
        </w:tc>
        <w:tc>
          <w:tcPr>
            <w:tcW w:w="7207" w:type="dxa"/>
            <w:hideMark/>
          </w:tcPr>
          <w:p w:rsidR="0095397A" w:rsidRDefault="0095397A">
            <w:pPr>
              <w:rPr>
                <w:rFonts w:cs="Times New Roman"/>
              </w:rPr>
            </w:pPr>
          </w:p>
        </w:tc>
        <w:tc>
          <w:tcPr>
            <w:tcW w:w="2218" w:type="dxa"/>
            <w:hideMark/>
          </w:tcPr>
          <w:p w:rsidR="0095397A" w:rsidRDefault="0095397A">
            <w:pPr>
              <w:rPr>
                <w:rFonts w:cs="Times New Roman"/>
              </w:rPr>
            </w:pPr>
          </w:p>
        </w:tc>
      </w:tr>
      <w:tr w:rsidR="0095397A" w:rsidTr="0095397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оценки</w:t>
            </w:r>
          </w:p>
        </w:tc>
      </w:tr>
      <w:tr w:rsidR="0095397A" w:rsidTr="0095397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 о фактически достигнутых величинах показателей эффективности управления муниципальными предприятиями;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срок до 20 марта</w:t>
            </w:r>
          </w:p>
        </w:tc>
      </w:tr>
      <w:tr w:rsidR="0095397A" w:rsidTr="0095397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управления муниципальными предприятиями в соответствии с настоящим Порядком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срок до 30 марта</w:t>
            </w:r>
          </w:p>
        </w:tc>
      </w:tr>
      <w:tr w:rsidR="0095397A" w:rsidTr="0095397A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 w:rsidP="00384E7E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отчета Главе </w:t>
            </w:r>
            <w:r w:rsidR="0038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Юманайского сельского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97A" w:rsidRDefault="0095397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срок до 1 апреля</w:t>
            </w:r>
          </w:p>
        </w:tc>
      </w:tr>
    </w:tbl>
    <w:p w:rsidR="0095397A" w:rsidRDefault="0095397A" w:rsidP="00953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6A8" w:rsidRDefault="003046A8" w:rsidP="0095397A">
      <w:pPr>
        <w:ind w:firstLine="284"/>
      </w:pPr>
    </w:p>
    <w:sectPr w:rsidR="003046A8" w:rsidSect="0095397A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7A"/>
    <w:rsid w:val="000059BB"/>
    <w:rsid w:val="000571B8"/>
    <w:rsid w:val="00084D4E"/>
    <w:rsid w:val="0012262A"/>
    <w:rsid w:val="00127099"/>
    <w:rsid w:val="00162CA4"/>
    <w:rsid w:val="001D3C10"/>
    <w:rsid w:val="001F3E2A"/>
    <w:rsid w:val="002C4B39"/>
    <w:rsid w:val="003046A8"/>
    <w:rsid w:val="00325098"/>
    <w:rsid w:val="0034099F"/>
    <w:rsid w:val="00384E7E"/>
    <w:rsid w:val="0039031B"/>
    <w:rsid w:val="003C044F"/>
    <w:rsid w:val="003F2B1A"/>
    <w:rsid w:val="003F7AB2"/>
    <w:rsid w:val="00444144"/>
    <w:rsid w:val="00450F9D"/>
    <w:rsid w:val="00476D77"/>
    <w:rsid w:val="004F6ABC"/>
    <w:rsid w:val="00516B2D"/>
    <w:rsid w:val="005360AF"/>
    <w:rsid w:val="00546E58"/>
    <w:rsid w:val="00585DD3"/>
    <w:rsid w:val="00650C06"/>
    <w:rsid w:val="00773AD7"/>
    <w:rsid w:val="007C4C3A"/>
    <w:rsid w:val="00835FF4"/>
    <w:rsid w:val="008C60E5"/>
    <w:rsid w:val="008E61A0"/>
    <w:rsid w:val="0095397A"/>
    <w:rsid w:val="009A1149"/>
    <w:rsid w:val="009B3C2F"/>
    <w:rsid w:val="009C61DC"/>
    <w:rsid w:val="00A00B59"/>
    <w:rsid w:val="00A07399"/>
    <w:rsid w:val="00A77A0A"/>
    <w:rsid w:val="00A84C47"/>
    <w:rsid w:val="00B119F2"/>
    <w:rsid w:val="00B202BE"/>
    <w:rsid w:val="00B23BA8"/>
    <w:rsid w:val="00B639E4"/>
    <w:rsid w:val="00BB0D0F"/>
    <w:rsid w:val="00C12D81"/>
    <w:rsid w:val="00C16955"/>
    <w:rsid w:val="00C80792"/>
    <w:rsid w:val="00CB0117"/>
    <w:rsid w:val="00CF2439"/>
    <w:rsid w:val="00D479E8"/>
    <w:rsid w:val="00D75289"/>
    <w:rsid w:val="00DB6428"/>
    <w:rsid w:val="00E41FFA"/>
    <w:rsid w:val="00E51067"/>
    <w:rsid w:val="00EB7DB3"/>
    <w:rsid w:val="00EC6FE0"/>
    <w:rsid w:val="00F554BF"/>
    <w:rsid w:val="00F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9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A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rsid w:val="009539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95397A"/>
    <w:rPr>
      <w:b/>
      <w:bCs w:val="0"/>
      <w:color w:val="0000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9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97A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rsid w:val="009539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95397A"/>
    <w:rPr>
      <w:b/>
      <w:bCs w:val="0"/>
      <w:color w:val="0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084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340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08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FC40-AF3A-473C-B7F4-05313FDA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</dc:creator>
  <cp:lastModifiedBy>Uman</cp:lastModifiedBy>
  <cp:revision>2</cp:revision>
  <dcterms:created xsi:type="dcterms:W3CDTF">2019-04-17T11:12:00Z</dcterms:created>
  <dcterms:modified xsi:type="dcterms:W3CDTF">2019-04-17T11:12:00Z</dcterms:modified>
</cp:coreProperties>
</file>