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D0" w:rsidRDefault="00BF2DD0" w:rsidP="00BF2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F2DD0" w:rsidRPr="00BF2DD0" w:rsidRDefault="00BF2DD0" w:rsidP="00BF2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5122F6" wp14:editId="4FB74150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D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BF2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F2DD0" w:rsidRPr="00BF2DD0" w:rsidTr="00BF444C">
        <w:trPr>
          <w:cantSplit/>
          <w:trHeight w:val="542"/>
        </w:trPr>
        <w:tc>
          <w:tcPr>
            <w:tcW w:w="4161" w:type="dxa"/>
          </w:tcPr>
          <w:p w:rsidR="00BF2DD0" w:rsidRPr="00BF2DD0" w:rsidRDefault="00BF2DD0" w:rsidP="00BF2DD0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BF2DD0">
              <w:rPr>
                <w:rFonts w:ascii="Times New Roman" w:eastAsia="Times New Roman" w:hAnsi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ЯНТИКОВСКИЙ РАЙОН</w:t>
            </w:r>
            <w:r w:rsidRPr="00BF2DD0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BF2DD0" w:rsidRPr="00BF2DD0" w:rsidRDefault="00BF2DD0" w:rsidP="00BF2DD0">
            <w:pPr>
              <w:tabs>
                <w:tab w:val="left" w:pos="146"/>
              </w:tabs>
              <w:spacing w:after="0" w:line="192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BF2DD0" w:rsidRPr="00BF2DD0" w:rsidRDefault="00BF2DD0" w:rsidP="00BF2DD0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BF2DD0" w:rsidRPr="00BF2DD0" w:rsidRDefault="00BF2DD0" w:rsidP="00BF2DD0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F2DD0" w:rsidRPr="00BF2DD0" w:rsidRDefault="00BF2DD0" w:rsidP="00BF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  <w:r w:rsidRPr="00BF2DD0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BF2DD0" w:rsidRPr="00BF2DD0" w:rsidTr="00BF444C">
        <w:trPr>
          <w:cantSplit/>
          <w:trHeight w:val="1785"/>
        </w:trPr>
        <w:tc>
          <w:tcPr>
            <w:tcW w:w="4161" w:type="dxa"/>
          </w:tcPr>
          <w:p w:rsidR="00BF2DD0" w:rsidRPr="00BF2DD0" w:rsidRDefault="00BF2DD0" w:rsidP="00BF2DD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ИНДЫРЧСКОГО СЕЛЬСКОГО</w:t>
            </w:r>
          </w:p>
          <w:p w:rsidR="00BF2DD0" w:rsidRPr="00BF2DD0" w:rsidRDefault="00BF2DD0" w:rsidP="00BF2DD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ПОСЕЛЕНИЯ</w:t>
            </w:r>
            <w:r w:rsidRPr="00BF2DD0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BF2DD0" w:rsidRPr="00BF2DD0" w:rsidRDefault="00BF2DD0" w:rsidP="00BF2DD0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BF2DD0" w:rsidRPr="00BF2DD0" w:rsidRDefault="00BF2DD0" w:rsidP="00BF2DD0">
            <w:pPr>
              <w:overflowPunct w:val="0"/>
              <w:autoSpaceDE w:val="0"/>
              <w:autoSpaceDN w:val="0"/>
              <w:adjustRightInd w:val="0"/>
              <w:spacing w:after="0" w:line="192" w:lineRule="auto"/>
              <w:textAlignment w:val="baseline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РЕШЕНИЕ</w:t>
            </w:r>
          </w:p>
          <w:p w:rsidR="00BF2DD0" w:rsidRPr="00BF2DD0" w:rsidRDefault="00BF2DD0" w:rsidP="00BF2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2DD0" w:rsidRPr="00BF2DD0" w:rsidRDefault="00BF2DD0" w:rsidP="00BF2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17</w:t>
            </w:r>
            <w:r w:rsidRPr="00BF2DD0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декабря</w:t>
            </w:r>
            <w:r w:rsidRPr="00BF2DD0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2019 г. №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17</w:t>
            </w:r>
            <w:r w:rsidRPr="00BF2DD0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</w:t>
            </w:r>
          </w:p>
          <w:p w:rsidR="00BF2DD0" w:rsidRPr="00BF2DD0" w:rsidRDefault="00BF2DD0" w:rsidP="00BF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BF2DD0" w:rsidRPr="00BF2DD0" w:rsidRDefault="00BF2DD0" w:rsidP="00BF2DD0">
            <w:pPr>
              <w:tabs>
                <w:tab w:val="left" w:pos="146"/>
              </w:tabs>
              <w:spacing w:before="40" w:after="0" w:line="192" w:lineRule="auto"/>
              <w:ind w:left="1368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ЙĂНТĂРЧЧĂ ЯЛ ПОСЕЛЕНИЙĚН</w:t>
            </w:r>
          </w:p>
          <w:p w:rsidR="00BF2DD0" w:rsidRPr="00BF2DD0" w:rsidRDefault="00BF2DD0" w:rsidP="00BF2DD0">
            <w:pPr>
              <w:tabs>
                <w:tab w:val="left" w:pos="146"/>
              </w:tabs>
              <w:spacing w:before="20" w:after="0" w:line="192" w:lineRule="auto"/>
              <w:ind w:left="13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BF2DD0" w:rsidRPr="00BF2DD0" w:rsidRDefault="00BF2DD0" w:rsidP="00BF2DD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2DD0" w:rsidRPr="00BF2DD0" w:rsidRDefault="00BF2DD0" w:rsidP="00BF2DD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F2DD0" w:rsidRPr="00BF2DD0" w:rsidRDefault="00BF2DD0" w:rsidP="00BF2DD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F2DD0" w:rsidRPr="00BF2DD0" w:rsidRDefault="00BF2DD0" w:rsidP="00BF2DD0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2DD0" w:rsidRPr="00BF2DD0" w:rsidRDefault="00BF2DD0" w:rsidP="00BF2DD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1368"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17 декабрь</w:t>
            </w: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2019</w:t>
            </w:r>
            <w:r w:rsidRPr="00BF2DD0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ç. </w:t>
            </w: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17</w:t>
            </w: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BF2DD0" w:rsidRPr="00BF2DD0" w:rsidRDefault="00BF2DD0" w:rsidP="00BF2DD0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F2DD0" w:rsidRPr="00BF2DD0" w:rsidRDefault="00BF2DD0" w:rsidP="00BF2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F2DD0" w:rsidRPr="00BF2DD0" w:rsidRDefault="00BF2DD0" w:rsidP="00BF2D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BF2DD0" w:rsidRPr="00BF2DD0" w:rsidRDefault="00BF2DD0" w:rsidP="00BF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BF2DD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1F3601" w:rsidRDefault="001F3601" w:rsidP="00FC732B">
      <w:pPr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sz w:val="28"/>
          <w:szCs w:val="28"/>
        </w:rPr>
      </w:pPr>
    </w:p>
    <w:p w:rsidR="001F3601" w:rsidRDefault="001F3601" w:rsidP="00FC732B">
      <w:pPr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rFonts w:ascii="Times New Roman" w:hAnsi="Times New Roman"/>
          <w:sz w:val="26"/>
          <w:szCs w:val="26"/>
        </w:rPr>
      </w:pPr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 xml:space="preserve">Об утверждении Порядка поощрения работников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1F3601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</w:t>
      </w:r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rFonts w:ascii="Times New Roman" w:hAnsi="Times New Roman"/>
          <w:sz w:val="26"/>
          <w:szCs w:val="26"/>
        </w:rPr>
      </w:pPr>
    </w:p>
    <w:p w:rsidR="001F3601" w:rsidRPr="001F3601" w:rsidRDefault="001F3601" w:rsidP="001F3601">
      <w:pPr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1F3601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</w:t>
      </w:r>
      <w:proofErr w:type="gramStart"/>
      <w:r w:rsidRPr="001F3601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F3601">
        <w:rPr>
          <w:rFonts w:ascii="Times New Roman" w:hAnsi="Times New Roman"/>
          <w:b/>
          <w:sz w:val="26"/>
          <w:szCs w:val="26"/>
        </w:rPr>
        <w:t xml:space="preserve"> е ш и л о</w:t>
      </w:r>
      <w:r w:rsidRPr="001F3601">
        <w:rPr>
          <w:rFonts w:ascii="Times New Roman" w:hAnsi="Times New Roman"/>
          <w:sz w:val="26"/>
          <w:szCs w:val="26"/>
        </w:rPr>
        <w:t>:</w:t>
      </w:r>
    </w:p>
    <w:p w:rsidR="001F3601" w:rsidRPr="001F3601" w:rsidRDefault="001F3601" w:rsidP="001F360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 xml:space="preserve">Утвердить прилагаемый Порядок поощрения работников администрации </w:t>
      </w:r>
      <w:proofErr w:type="spellStart"/>
      <w:r w:rsidRPr="001F3601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1F3601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году.</w:t>
      </w:r>
    </w:p>
    <w:p w:rsidR="001F3601" w:rsidRPr="001F3601" w:rsidRDefault="001F3601" w:rsidP="001F360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F3601" w:rsidRPr="001F3601" w:rsidRDefault="001F3601" w:rsidP="001F3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3601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1F3601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    </w:t>
      </w:r>
      <w:proofErr w:type="spellStart"/>
      <w:r w:rsidRPr="001F3601">
        <w:rPr>
          <w:rFonts w:ascii="Times New Roman" w:hAnsi="Times New Roman"/>
          <w:sz w:val="26"/>
          <w:szCs w:val="26"/>
        </w:rPr>
        <w:t>Ю.Н.Егорова</w:t>
      </w:r>
      <w:proofErr w:type="spellEnd"/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601" w:rsidRPr="001F3601" w:rsidRDefault="001F3601" w:rsidP="001F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60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F3601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1F360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601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                      </w:t>
      </w:r>
      <w:proofErr w:type="spellStart"/>
      <w:r w:rsidRPr="001F3601">
        <w:rPr>
          <w:rFonts w:ascii="Times New Roman" w:hAnsi="Times New Roman"/>
          <w:sz w:val="26"/>
          <w:szCs w:val="26"/>
        </w:rPr>
        <w:t>А.В.Семенов</w:t>
      </w:r>
      <w:proofErr w:type="spellEnd"/>
    </w:p>
    <w:p w:rsidR="001F3601" w:rsidRDefault="001F3601" w:rsidP="001F3601">
      <w:pPr>
        <w:spacing w:after="0" w:line="360" w:lineRule="auto"/>
        <w:rPr>
          <w:rFonts w:ascii="Times New Roman" w:hAnsi="Times New Roman"/>
          <w:sz w:val="28"/>
          <w:szCs w:val="28"/>
        </w:rPr>
        <w:sectPr w:rsidR="001F3601" w:rsidSect="001F3601">
          <w:pgSz w:w="11906" w:h="16838"/>
          <w:pgMar w:top="1134" w:right="851" w:bottom="1134" w:left="1701" w:header="709" w:footer="709" w:gutter="0"/>
          <w:cols w:space="720"/>
        </w:sectPr>
      </w:pP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Янтиковского района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17/2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601" w:rsidRDefault="001F3601" w:rsidP="001F36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1F3601" w:rsidRDefault="001F3601" w:rsidP="001F36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поощрения работников  администрации </w:t>
      </w:r>
      <w:proofErr w:type="spellStart"/>
      <w:r w:rsidRPr="001F3601">
        <w:rPr>
          <w:rFonts w:ascii="Times New Roman" w:hAnsi="Times New Roman"/>
          <w:b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Янтиковского района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Порядок определяет механизм предоставления средств бюджета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на поощрение работников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(далее – поощрение  работников).</w:t>
      </w:r>
      <w:proofErr w:type="gramEnd"/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Источником предоставления средств на поощрение работников являются средства республиканского бюджета Чувашской Республики в виде иных межбюджетных трансфертов, поступивш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ие в республиканский бюджет Чувашской Республики за достижение </w:t>
      </w:r>
      <w:proofErr w:type="gramStart"/>
      <w:r>
        <w:rPr>
          <w:rFonts w:ascii="Times New Roman" w:hAnsi="Times New Roman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предоставляемые из федерального бюд</w:t>
      </w:r>
      <w:r>
        <w:rPr>
          <w:rFonts w:ascii="Times New Roman" w:hAnsi="Times New Roman"/>
          <w:sz w:val="24"/>
          <w:szCs w:val="24"/>
        </w:rPr>
        <w:softHyphen/>
        <w:t>жета в 2019 году.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Объем средств на поощрение  работников, распределяемый по показателям оплаты труда работников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района, определяется по формуле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  <w:lang w:val="en-US"/>
          </w:rPr>
          <m:t>OD</m:t>
        </m:r>
      </m:oMath>
      <w:r>
        <w:rPr>
          <w:rFonts w:ascii="Times New Roman" w:hAnsi="Times New Roman"/>
          <w:i/>
          <w:sz w:val="24"/>
          <w:szCs w:val="24"/>
        </w:rPr>
        <w:t xml:space="preserve"> ,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объем средств на поощрение работников, распределяемый исходя из предусмотренных плановых назначений на 2019 год на оплату труда работников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района;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предусмотренные на 2019 год плановые назначения на оплату труда работников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с начислениями (без учета работников, осуществляющих выполнение переданных полномочий Российской Федерации, Чувашской Республики);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– общий объем средств, направляемый на поощрение работников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района.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Поощрение работникам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выплачивается на основании распоряжения администрации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Чувашской Республики.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Поощрение главе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</w:t>
      </w:r>
      <w:r w:rsidRPr="001F3601">
        <w:rPr>
          <w:rFonts w:ascii="Times New Roman" w:hAnsi="Times New Roman"/>
          <w:sz w:val="24"/>
          <w:szCs w:val="24"/>
        </w:rPr>
        <w:t xml:space="preserve">Чувашской Республики выплачивается на основании решения Собрания депутатов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района. </w:t>
      </w:r>
    </w:p>
    <w:p w:rsidR="001F3601" w:rsidRDefault="001F3601" w:rsidP="001F3601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6. Средства на поощрение работников предоставляются в пределах бюджетных ассигнований, утвержденных решением Собрания депутатов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Янтиковского района от </w:t>
      </w:r>
      <w:r>
        <w:rPr>
          <w:rFonts w:ascii="Times New Roman" w:hAnsi="Times New Roman"/>
          <w:sz w:val="24"/>
          <w:szCs w:val="24"/>
        </w:rPr>
        <w:t>14</w:t>
      </w:r>
      <w:r w:rsidRPr="001F3601">
        <w:rPr>
          <w:rFonts w:ascii="Times New Roman" w:hAnsi="Times New Roman"/>
          <w:sz w:val="24"/>
          <w:szCs w:val="24"/>
        </w:rPr>
        <w:t>.12.2018 №</w:t>
      </w:r>
      <w:r>
        <w:rPr>
          <w:rFonts w:ascii="Times New Roman" w:hAnsi="Times New Roman"/>
          <w:sz w:val="24"/>
          <w:szCs w:val="24"/>
        </w:rPr>
        <w:t>13/1</w:t>
      </w:r>
      <w:r w:rsidRPr="001F36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1F3601">
        <w:rPr>
          <w:rFonts w:ascii="Times New Roman" w:hAnsi="Times New Roman"/>
          <w:sz w:val="24"/>
          <w:szCs w:val="24"/>
        </w:rPr>
        <w:t>Индырчского</w:t>
      </w:r>
      <w:proofErr w:type="spellEnd"/>
      <w:r w:rsidRPr="001F3601">
        <w:rPr>
          <w:rFonts w:ascii="Times New Roman" w:hAnsi="Times New Roman"/>
          <w:sz w:val="24"/>
          <w:szCs w:val="24"/>
        </w:rPr>
        <w:t xml:space="preserve"> сельского поселения Янтиковского ра</w:t>
      </w:r>
      <w:r>
        <w:rPr>
          <w:rFonts w:ascii="Times New Roman" w:hAnsi="Times New Roman"/>
          <w:sz w:val="24"/>
          <w:szCs w:val="24"/>
        </w:rPr>
        <w:t>йона на 2019 год и на плановый период 2020 и 2021 годов».</w:t>
      </w:r>
    </w:p>
    <w:p w:rsidR="00FC732B" w:rsidRPr="00EC7F5D" w:rsidRDefault="00FC732B" w:rsidP="00DD6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C732B" w:rsidRPr="00EC7F5D" w:rsidSect="00CB4907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086"/>
    <w:multiLevelType w:val="hybridMultilevel"/>
    <w:tmpl w:val="B8F4F8BE"/>
    <w:lvl w:ilvl="0" w:tplc="180E5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71727"/>
    <w:multiLevelType w:val="hybridMultilevel"/>
    <w:tmpl w:val="B480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935"/>
    <w:multiLevelType w:val="hybridMultilevel"/>
    <w:tmpl w:val="D50253E0"/>
    <w:lvl w:ilvl="0" w:tplc="4DE2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B"/>
    <w:rsid w:val="000E007D"/>
    <w:rsid w:val="001F3601"/>
    <w:rsid w:val="0024042D"/>
    <w:rsid w:val="00307968"/>
    <w:rsid w:val="00460EB9"/>
    <w:rsid w:val="00790C59"/>
    <w:rsid w:val="00A37CB8"/>
    <w:rsid w:val="00B005BE"/>
    <w:rsid w:val="00BF2DD0"/>
    <w:rsid w:val="00C22B2E"/>
    <w:rsid w:val="00CB4907"/>
    <w:rsid w:val="00CE48E0"/>
    <w:rsid w:val="00DD6581"/>
    <w:rsid w:val="00DF3888"/>
    <w:rsid w:val="00E15587"/>
    <w:rsid w:val="00E80F5F"/>
    <w:rsid w:val="00EC7F5D"/>
    <w:rsid w:val="00F74669"/>
    <w:rsid w:val="00F82161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7F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7F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6179-4AA6-4F3C-95AE-911A89A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Индырчи</cp:lastModifiedBy>
  <cp:revision>7</cp:revision>
  <cp:lastPrinted>2019-12-17T07:13:00Z</cp:lastPrinted>
  <dcterms:created xsi:type="dcterms:W3CDTF">2019-12-16T13:54:00Z</dcterms:created>
  <dcterms:modified xsi:type="dcterms:W3CDTF">2019-12-17T07:24:00Z</dcterms:modified>
</cp:coreProperties>
</file>