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="36" w:tblpY="540"/>
        <w:tblW w:w="9635" w:type="dxa"/>
        <w:tblLook w:val="04A0"/>
      </w:tblPr>
      <w:tblGrid>
        <w:gridCol w:w="4151"/>
        <w:gridCol w:w="1488"/>
        <w:gridCol w:w="3996"/>
      </w:tblGrid>
      <w:tr w:rsidR="00B069A4" w:rsidTr="00B069A4">
        <w:trPr>
          <w:trHeight w:val="4388"/>
        </w:trPr>
        <w:tc>
          <w:tcPr>
            <w:tcW w:w="4151" w:type="dxa"/>
          </w:tcPr>
          <w:p w:rsidR="00B069A4" w:rsidRPr="00F85587" w:rsidRDefault="00B069A4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9A4" w:rsidRPr="00F85587" w:rsidRDefault="00B069A4">
            <w:pPr>
              <w:spacing w:line="256" w:lineRule="auto"/>
            </w:pPr>
          </w:p>
          <w:p w:rsidR="00B069A4" w:rsidRPr="00F85587" w:rsidRDefault="00B069A4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9A4" w:rsidRPr="00F85587" w:rsidRDefault="00B069A4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B069A4" w:rsidRPr="00F85587" w:rsidRDefault="00B069A4">
            <w:pPr>
              <w:pStyle w:val="2"/>
              <w:spacing w:line="256" w:lineRule="auto"/>
              <w:ind w:right="144" w:firstLine="0"/>
              <w:jc w:val="center"/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F85587"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  <w:t>Ч</w:t>
            </w:r>
            <w:r w:rsidRPr="00F85587">
              <w:rPr>
                <w:b w:val="0"/>
                <w:bCs w:val="0"/>
                <w:i w:val="0"/>
                <w:iCs w:val="0"/>
                <w:sz w:val="24"/>
                <w:szCs w:val="24"/>
              </w:rPr>
              <w:t>ā</w:t>
            </w:r>
            <w:proofErr w:type="gramStart"/>
            <w:r w:rsidRPr="00F85587"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  <w:t>ваш</w:t>
            </w:r>
            <w:proofErr w:type="spellEnd"/>
            <w:proofErr w:type="gramEnd"/>
            <w:r w:rsidRPr="00F85587">
              <w:rPr>
                <w:rFonts w:ascii="Arial Cyr Chuv" w:hAnsi="Arial Cyr Chuv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F85587">
              <w:rPr>
                <w:rFonts w:ascii="Arial Cyr Chuv" w:hAnsi="Arial Cyr Chuv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Республики</w:t>
            </w:r>
          </w:p>
          <w:p w:rsidR="00B069A4" w:rsidRPr="00F85587" w:rsidRDefault="00B069A4">
            <w:pPr>
              <w:pStyle w:val="1"/>
              <w:spacing w:line="256" w:lineRule="auto"/>
              <w:ind w:right="72"/>
              <w:rPr>
                <w:sz w:val="24"/>
              </w:rPr>
            </w:pPr>
            <w:proofErr w:type="spellStart"/>
            <w:r w:rsidRPr="00F85587">
              <w:rPr>
                <w:sz w:val="24"/>
              </w:rPr>
              <w:t>Елч</w:t>
            </w:r>
            <w:r w:rsidRPr="00F85587">
              <w:rPr>
                <w:rFonts w:ascii="Arial" w:hAnsi="Arial" w:cs="Arial"/>
                <w:sz w:val="24"/>
              </w:rPr>
              <w:t>ē</w:t>
            </w:r>
            <w:proofErr w:type="gramStart"/>
            <w:r w:rsidRPr="00F85587">
              <w:rPr>
                <w:sz w:val="24"/>
              </w:rPr>
              <w:t>к</w:t>
            </w:r>
            <w:proofErr w:type="spellEnd"/>
            <w:proofErr w:type="gramEnd"/>
            <w:r w:rsidRPr="00F85587">
              <w:rPr>
                <w:sz w:val="24"/>
              </w:rPr>
              <w:t xml:space="preserve"> </w:t>
            </w:r>
            <w:proofErr w:type="spellStart"/>
            <w:r w:rsidRPr="00F85587">
              <w:rPr>
                <w:sz w:val="24"/>
              </w:rPr>
              <w:t>район</w:t>
            </w:r>
            <w:r w:rsidRPr="00F85587">
              <w:rPr>
                <w:rFonts w:ascii="Arial" w:hAnsi="Arial" w:cs="Arial"/>
                <w:sz w:val="24"/>
              </w:rPr>
              <w:t>ē</w:t>
            </w:r>
            <w:proofErr w:type="spellEnd"/>
          </w:p>
          <w:p w:rsidR="00B069A4" w:rsidRPr="00F85587" w:rsidRDefault="00B069A4">
            <w:pPr>
              <w:spacing w:line="256" w:lineRule="auto"/>
            </w:pPr>
          </w:p>
          <w:p w:rsidR="00B069A4" w:rsidRPr="00F85587" w:rsidRDefault="00B069A4">
            <w:pPr>
              <w:pStyle w:val="1"/>
              <w:spacing w:line="256" w:lineRule="auto"/>
              <w:ind w:right="72"/>
              <w:rPr>
                <w:sz w:val="24"/>
              </w:rPr>
            </w:pPr>
            <w:proofErr w:type="spellStart"/>
            <w:r w:rsidRPr="00F85587">
              <w:rPr>
                <w:sz w:val="24"/>
              </w:rPr>
              <w:t>Т</w:t>
            </w:r>
            <w:r w:rsidRPr="00F85587">
              <w:rPr>
                <w:rFonts w:ascii="Arial" w:hAnsi="Arial" w:cs="Arial"/>
                <w:sz w:val="24"/>
              </w:rPr>
              <w:t>ā</w:t>
            </w:r>
            <w:proofErr w:type="gramStart"/>
            <w:r w:rsidRPr="00F85587">
              <w:rPr>
                <w:sz w:val="24"/>
              </w:rPr>
              <w:t>р</w:t>
            </w:r>
            <w:proofErr w:type="gramEnd"/>
            <w:r w:rsidRPr="00F85587">
              <w:rPr>
                <w:rFonts w:ascii="Arial" w:hAnsi="Arial" w:cs="Arial"/>
                <w:sz w:val="24"/>
              </w:rPr>
              <w:t>ā</w:t>
            </w:r>
            <w:r w:rsidRPr="00F85587">
              <w:rPr>
                <w:sz w:val="24"/>
              </w:rPr>
              <w:t>м</w:t>
            </w:r>
            <w:proofErr w:type="spellEnd"/>
          </w:p>
          <w:p w:rsidR="00B069A4" w:rsidRPr="00F85587" w:rsidRDefault="00B069A4">
            <w:pPr>
              <w:pStyle w:val="1"/>
              <w:spacing w:line="256" w:lineRule="auto"/>
              <w:ind w:right="72"/>
              <w:rPr>
                <w:sz w:val="24"/>
              </w:rPr>
            </w:pPr>
            <w:r w:rsidRPr="00F85587">
              <w:rPr>
                <w:sz w:val="24"/>
              </w:rPr>
              <w:t xml:space="preserve">ял </w:t>
            </w:r>
            <w:proofErr w:type="spellStart"/>
            <w:r w:rsidRPr="00F85587">
              <w:rPr>
                <w:sz w:val="24"/>
              </w:rPr>
              <w:t>поселений</w:t>
            </w:r>
            <w:r w:rsidRPr="00F85587">
              <w:rPr>
                <w:rFonts w:ascii="Arial" w:hAnsi="Arial" w:cs="Arial"/>
                <w:sz w:val="24"/>
              </w:rPr>
              <w:t>ē</w:t>
            </w:r>
            <w:r w:rsidRPr="00F85587">
              <w:rPr>
                <w:sz w:val="24"/>
              </w:rPr>
              <w:t>н</w:t>
            </w:r>
            <w:proofErr w:type="spellEnd"/>
            <w:r w:rsidRPr="00F85587">
              <w:rPr>
                <w:sz w:val="24"/>
              </w:rPr>
              <w:t xml:space="preserve"> </w:t>
            </w:r>
          </w:p>
          <w:p w:rsidR="00B069A4" w:rsidRPr="00F85587" w:rsidRDefault="00B069A4">
            <w:pPr>
              <w:pStyle w:val="1"/>
              <w:spacing w:line="256" w:lineRule="auto"/>
              <w:ind w:right="72"/>
              <w:rPr>
                <w:sz w:val="24"/>
              </w:rPr>
            </w:pPr>
            <w:proofErr w:type="spellStart"/>
            <w:r w:rsidRPr="00F85587">
              <w:rPr>
                <w:sz w:val="24"/>
              </w:rPr>
              <w:t>администраций</w:t>
            </w:r>
            <w:r w:rsidRPr="00F85587">
              <w:rPr>
                <w:rFonts w:ascii="Arial" w:hAnsi="Arial" w:cs="Arial"/>
                <w:sz w:val="24"/>
              </w:rPr>
              <w:t>ē</w:t>
            </w:r>
            <w:proofErr w:type="spellEnd"/>
          </w:p>
          <w:p w:rsidR="00B069A4" w:rsidRPr="00F85587" w:rsidRDefault="00B069A4">
            <w:pPr>
              <w:spacing w:line="256" w:lineRule="auto"/>
              <w:ind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pStyle w:val="3"/>
              <w:spacing w:line="256" w:lineRule="auto"/>
              <w:ind w:right="72"/>
              <w:rPr>
                <w:b w:val="0"/>
                <w:sz w:val="24"/>
              </w:rPr>
            </w:pPr>
            <w:r w:rsidRPr="00F85587">
              <w:rPr>
                <w:b w:val="0"/>
                <w:sz w:val="24"/>
              </w:rPr>
              <w:t>ЙЫШ</w:t>
            </w:r>
            <w:r w:rsidRPr="00F85587">
              <w:rPr>
                <w:rFonts w:ascii="Arial" w:hAnsi="Arial" w:cs="Arial"/>
                <w:b w:val="0"/>
                <w:sz w:val="24"/>
              </w:rPr>
              <w:t>Ă</w:t>
            </w:r>
            <w:r w:rsidRPr="00F85587">
              <w:rPr>
                <w:b w:val="0"/>
                <w:sz w:val="24"/>
              </w:rPr>
              <w:t>НУ</w:t>
            </w:r>
          </w:p>
          <w:p w:rsidR="00B069A4" w:rsidRPr="00F85587" w:rsidRDefault="00B069A4">
            <w:pPr>
              <w:spacing w:line="256" w:lineRule="auto"/>
              <w:ind w:left="-360"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</w:pPr>
            <w:r w:rsidRPr="00F85587">
              <w:rPr>
                <w:rFonts w:ascii="Arial Cyr Chuv" w:hAnsi="Arial Cyr Chuv"/>
              </w:rPr>
              <w:t xml:space="preserve">2019 </w:t>
            </w:r>
            <w:proofErr w:type="spellStart"/>
            <w:r w:rsidRPr="00F85587">
              <w:rPr>
                <w:rFonts w:ascii="Arial" w:hAnsi="Arial" w:cs="Arial"/>
              </w:rPr>
              <w:t>ç</w:t>
            </w:r>
            <w:proofErr w:type="spellEnd"/>
            <w:r w:rsidRPr="00F85587">
              <w:t xml:space="preserve">   </w:t>
            </w:r>
            <w:proofErr w:type="spellStart"/>
            <w:r w:rsidRPr="00F85587">
              <w:t>октябрēн</w:t>
            </w:r>
            <w:proofErr w:type="spellEnd"/>
            <w:r w:rsidRPr="00F85587">
              <w:t xml:space="preserve"> </w:t>
            </w:r>
            <w:r w:rsidRPr="00F85587">
              <w:rPr>
                <w:rFonts w:ascii="Arial Cyr Chuv" w:hAnsi="Arial Cyr Chuv"/>
              </w:rPr>
              <w:t>1-м</w:t>
            </w:r>
            <w:r w:rsidRPr="00F85587">
              <w:rPr>
                <w:rFonts w:ascii="Arial" w:hAnsi="Arial" w:cs="Arial"/>
              </w:rPr>
              <w:t>ē</w:t>
            </w:r>
            <w:r w:rsidRPr="00F85587">
              <w:rPr>
                <w:rFonts w:ascii="Arial Cyr Chuv" w:hAnsi="Arial Cyr Chuv"/>
              </w:rPr>
              <w:t>ш</w:t>
            </w:r>
            <w:r w:rsidRPr="00F85587">
              <w:rPr>
                <w:rFonts w:ascii="Arial" w:hAnsi="Arial" w:cs="Arial"/>
              </w:rPr>
              <w:t>ē 37</w:t>
            </w:r>
            <w:r w:rsidRPr="00F85587">
              <w:rPr>
                <w:rFonts w:ascii="Arial Cyr Chuv" w:hAnsi="Arial Cyr Chuv"/>
              </w:rPr>
              <w:t>№</w:t>
            </w:r>
          </w:p>
          <w:p w:rsidR="00B069A4" w:rsidRPr="00F85587" w:rsidRDefault="00B069A4">
            <w:pPr>
              <w:pStyle w:val="1"/>
              <w:spacing w:line="256" w:lineRule="auto"/>
              <w:ind w:left="-360" w:right="72"/>
              <w:rPr>
                <w:sz w:val="24"/>
              </w:rPr>
            </w:pPr>
          </w:p>
          <w:p w:rsidR="00B069A4" w:rsidRPr="00F85587" w:rsidRDefault="00F85587">
            <w:pPr>
              <w:pStyle w:val="1"/>
              <w:spacing w:line="256" w:lineRule="auto"/>
              <w:ind w:right="72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rFonts w:ascii="Arial" w:hAnsi="Arial" w:cs="Arial"/>
                <w:sz w:val="24"/>
              </w:rPr>
              <w:t>ӑ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</w:rPr>
              <w:t>ӑ</w:t>
            </w:r>
            <w:r w:rsidR="00B069A4" w:rsidRPr="00F85587">
              <w:rPr>
                <w:sz w:val="24"/>
              </w:rPr>
              <w:t>м</w:t>
            </w:r>
            <w:r>
              <w:rPr>
                <w:sz w:val="24"/>
              </w:rPr>
              <w:t xml:space="preserve"> ял</w:t>
            </w:r>
            <w:r>
              <w:rPr>
                <w:rFonts w:ascii="Arial" w:hAnsi="Arial" w:cs="Arial"/>
                <w:sz w:val="24"/>
              </w:rPr>
              <w:t>ӗ</w:t>
            </w:r>
          </w:p>
          <w:p w:rsidR="00B069A4" w:rsidRPr="00F85587" w:rsidRDefault="00B069A4">
            <w:pPr>
              <w:spacing w:line="256" w:lineRule="auto"/>
              <w:ind w:left="-360" w:right="72"/>
              <w:jc w:val="center"/>
              <w:rPr>
                <w:rFonts w:ascii="Arial Cyr Chv FVI" w:hAnsi="Arial Cyr Chv FVI"/>
              </w:rPr>
            </w:pPr>
          </w:p>
        </w:tc>
        <w:tc>
          <w:tcPr>
            <w:tcW w:w="1488" w:type="dxa"/>
          </w:tcPr>
          <w:p w:rsidR="00B069A4" w:rsidRPr="00F85587" w:rsidRDefault="00B069A4">
            <w:pPr>
              <w:spacing w:line="256" w:lineRule="auto"/>
              <w:ind w:right="72"/>
            </w:pPr>
          </w:p>
          <w:p w:rsidR="00B069A4" w:rsidRPr="00F85587" w:rsidRDefault="00B069A4">
            <w:pPr>
              <w:spacing w:line="256" w:lineRule="auto"/>
              <w:ind w:right="72"/>
            </w:pPr>
          </w:p>
          <w:p w:rsidR="00B069A4" w:rsidRPr="00F85587" w:rsidRDefault="00B069A4">
            <w:pPr>
              <w:spacing w:line="256" w:lineRule="auto"/>
              <w:ind w:right="72"/>
            </w:pPr>
            <w:r w:rsidRPr="00F85587">
              <w:rPr>
                <w:noProof/>
              </w:rPr>
              <w:drawing>
                <wp:inline distT="0" distB="0" distL="0" distR="0">
                  <wp:extent cx="6000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B069A4" w:rsidRPr="00F85587" w:rsidRDefault="00B069A4">
            <w:pPr>
              <w:tabs>
                <w:tab w:val="left" w:pos="480"/>
              </w:tabs>
              <w:spacing w:line="256" w:lineRule="auto"/>
              <w:ind w:left="-360" w:right="72"/>
            </w:pPr>
            <w:r w:rsidRPr="00F85587">
              <w:tab/>
            </w:r>
          </w:p>
          <w:p w:rsidR="00B069A4" w:rsidRPr="00F85587" w:rsidRDefault="00B069A4">
            <w:pPr>
              <w:spacing w:line="256" w:lineRule="auto"/>
              <w:ind w:right="72"/>
              <w:jc w:val="center"/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ind w:right="72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ind w:right="72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>Чувашская Республика</w:t>
            </w:r>
          </w:p>
          <w:p w:rsidR="00B069A4" w:rsidRPr="00F85587" w:rsidRDefault="00B069A4">
            <w:pPr>
              <w:spacing w:line="256" w:lineRule="auto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>Яльчикский район</w:t>
            </w:r>
          </w:p>
          <w:p w:rsidR="00B069A4" w:rsidRPr="00F85587" w:rsidRDefault="00B069A4">
            <w:pPr>
              <w:spacing w:line="256" w:lineRule="auto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>Администрация</w:t>
            </w:r>
          </w:p>
          <w:p w:rsidR="00B069A4" w:rsidRPr="00F85587" w:rsidRDefault="00B069A4">
            <w:pPr>
              <w:spacing w:line="256" w:lineRule="auto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>Сабанчинского</w:t>
            </w:r>
          </w:p>
          <w:p w:rsidR="00B069A4" w:rsidRPr="00F85587" w:rsidRDefault="00B069A4">
            <w:pPr>
              <w:spacing w:line="256" w:lineRule="auto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 xml:space="preserve"> сельского поселения</w:t>
            </w:r>
          </w:p>
          <w:p w:rsidR="00B069A4" w:rsidRPr="00F85587" w:rsidRDefault="00B069A4">
            <w:pPr>
              <w:spacing w:line="256" w:lineRule="auto"/>
              <w:ind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pStyle w:val="3"/>
              <w:spacing w:line="256" w:lineRule="auto"/>
              <w:ind w:right="72"/>
              <w:rPr>
                <w:b w:val="0"/>
                <w:sz w:val="24"/>
              </w:rPr>
            </w:pPr>
            <w:r w:rsidRPr="00F85587">
              <w:rPr>
                <w:b w:val="0"/>
                <w:sz w:val="24"/>
              </w:rPr>
              <w:t>ПОСТАНОВЛЕНИЕ</w:t>
            </w:r>
          </w:p>
          <w:p w:rsidR="00B069A4" w:rsidRPr="00F85587" w:rsidRDefault="00B069A4">
            <w:pPr>
              <w:spacing w:line="256" w:lineRule="auto"/>
              <w:ind w:left="-360" w:right="72"/>
              <w:jc w:val="center"/>
            </w:pPr>
          </w:p>
          <w:p w:rsidR="00B069A4" w:rsidRPr="00F85587" w:rsidRDefault="00B069A4">
            <w:pPr>
              <w:spacing w:line="256" w:lineRule="auto"/>
              <w:ind w:left="-111" w:right="-36"/>
              <w:jc w:val="center"/>
            </w:pPr>
            <w:r w:rsidRPr="00F85587">
              <w:t xml:space="preserve"> 1 октября  2019 г. № 37</w:t>
            </w:r>
          </w:p>
          <w:p w:rsidR="00B069A4" w:rsidRPr="00F85587" w:rsidRDefault="00B069A4">
            <w:pPr>
              <w:spacing w:line="256" w:lineRule="auto"/>
              <w:ind w:left="-111" w:right="72"/>
              <w:jc w:val="center"/>
              <w:rPr>
                <w:rFonts w:ascii="Arial Cyr Chuv" w:hAnsi="Arial Cyr Chuv"/>
              </w:rPr>
            </w:pPr>
          </w:p>
          <w:p w:rsidR="00B069A4" w:rsidRPr="00F85587" w:rsidRDefault="00B069A4">
            <w:pPr>
              <w:spacing w:line="256" w:lineRule="auto"/>
              <w:ind w:left="-111" w:right="72"/>
              <w:jc w:val="center"/>
              <w:rPr>
                <w:rFonts w:ascii="Arial Cyr Chuv" w:hAnsi="Arial Cyr Chuv"/>
              </w:rPr>
            </w:pPr>
            <w:r w:rsidRPr="00F85587">
              <w:rPr>
                <w:rFonts w:ascii="Arial Cyr Chuv" w:hAnsi="Arial Cyr Chuv"/>
              </w:rPr>
              <w:t>село Сабанчино</w:t>
            </w:r>
          </w:p>
        </w:tc>
      </w:tr>
    </w:tbl>
    <w:p w:rsidR="00B069A4" w:rsidRDefault="00B069A4" w:rsidP="00B069A4">
      <w:pPr>
        <w:tabs>
          <w:tab w:val="left" w:pos="900"/>
        </w:tabs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объекту недвижимости</w:t>
      </w:r>
    </w:p>
    <w:p w:rsidR="00B069A4" w:rsidRDefault="00B069A4" w:rsidP="00B069A4">
      <w:pPr>
        <w:tabs>
          <w:tab w:val="left" w:pos="1425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69A4" w:rsidRDefault="00B069A4" w:rsidP="00B069A4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  соответствии с  Законом Чувашской Республики от 19.12.1997 г. № 28 «Об административном территориальном устройстве Чувашской Республики», ст. 17 ФЗ «Об общих принципах организации местного самоуправления в РФ» от 06.10.2003г.  № 131-ФЗ,   целях упорядочения наименований улиц и номеров зданий Сабанчинского сельского поселения Яльчикского района Чувашской Республики,   администрация Сабанчинского сельского поселения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B069A4" w:rsidRDefault="00B069A4" w:rsidP="00B069A4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069A4" w:rsidRDefault="00B069A4" w:rsidP="00B069A4">
      <w:pPr>
        <w:tabs>
          <w:tab w:val="left" w:pos="900"/>
        </w:tabs>
        <w:ind w:firstLine="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Зданию  Полевокозыльярского  фельдшерско-акушерского пункта БУ «Яльчикский ЦРБ» Министерства здравоохранения  Чувашской Республики присвоить следующий адрес:  Чувашская Республика, Яльчикский  муниципальный район,  Сабанчинское сельское поселение, д. </w:t>
      </w:r>
      <w:proofErr w:type="gramStart"/>
      <w:r>
        <w:rPr>
          <w:sz w:val="28"/>
          <w:szCs w:val="28"/>
        </w:rPr>
        <w:t>Полевые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Козыльяры</w:t>
      </w:r>
      <w:proofErr w:type="spellEnd"/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 xml:space="preserve">  </w:t>
      </w:r>
      <w:r w:rsidR="00F85587">
        <w:rPr>
          <w:sz w:val="28"/>
          <w:szCs w:val="28"/>
        </w:rPr>
        <w:t>ул. Мостовая, 1Б</w:t>
      </w:r>
      <w:r>
        <w:rPr>
          <w:sz w:val="28"/>
          <w:szCs w:val="28"/>
        </w:rPr>
        <w:t>.</w:t>
      </w:r>
      <w:bookmarkStart w:id="0" w:name="_GoBack"/>
      <w:bookmarkEnd w:id="0"/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</w:t>
      </w:r>
      <w:r w:rsidR="00EF2D31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присвоении адреса объекту недвижимости»  от  09.01.2017  года  №1 считать утратившим силу.</w:t>
      </w:r>
    </w:p>
    <w:p w:rsidR="00B069A4" w:rsidRDefault="00B069A4" w:rsidP="00B069A4">
      <w:pPr>
        <w:tabs>
          <w:tab w:val="left" w:pos="900"/>
        </w:tabs>
        <w:ind w:firstLine="228"/>
        <w:jc w:val="both"/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 xml:space="preserve">Глава Сабанчинского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069A4" w:rsidRDefault="00B069A4" w:rsidP="00B069A4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>поселения Яльчикского района</w:t>
      </w:r>
    </w:p>
    <w:p w:rsidR="00B069A4" w:rsidRDefault="00B069A4" w:rsidP="00F85587">
      <w:pPr>
        <w:tabs>
          <w:tab w:val="left" w:pos="900"/>
        </w:tabs>
        <w:ind w:firstLine="228"/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                                                              </w:t>
      </w:r>
      <w:r w:rsidR="00F85587">
        <w:rPr>
          <w:sz w:val="28"/>
          <w:szCs w:val="28"/>
        </w:rPr>
        <w:t>А.В.Трофимов</w:t>
      </w:r>
    </w:p>
    <w:p w:rsidR="00B069A4" w:rsidRDefault="00B069A4" w:rsidP="00B069A4"/>
    <w:p w:rsidR="00B069A4" w:rsidRDefault="00B069A4" w:rsidP="00B069A4"/>
    <w:p w:rsidR="00B069A4" w:rsidRDefault="00B069A4" w:rsidP="00B069A4"/>
    <w:p w:rsidR="00B069A4" w:rsidRDefault="00B069A4" w:rsidP="00B069A4"/>
    <w:p w:rsidR="00B069A4" w:rsidRDefault="00B069A4" w:rsidP="00B069A4"/>
    <w:p w:rsidR="00902CF6" w:rsidRDefault="00902CF6"/>
    <w:sectPr w:rsidR="00902CF6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A4"/>
    <w:rsid w:val="001C5903"/>
    <w:rsid w:val="0077402C"/>
    <w:rsid w:val="00902CF6"/>
    <w:rsid w:val="00B069A4"/>
    <w:rsid w:val="00EF2D31"/>
    <w:rsid w:val="00F8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69A4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069A4"/>
    <w:pPr>
      <w:keepNext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069A4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9A4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069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69A4"/>
    <w:rPr>
      <w:rFonts w:ascii="Arial Cyr Chuv" w:eastAsia="Times New Roman" w:hAnsi="Arial Cyr Chuv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2019-10-02T13:31:00Z</cp:lastPrinted>
  <dcterms:created xsi:type="dcterms:W3CDTF">2019-10-02T13:18:00Z</dcterms:created>
  <dcterms:modified xsi:type="dcterms:W3CDTF">2019-10-02T13:37:00Z</dcterms:modified>
</cp:coreProperties>
</file>