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9C" w:rsidRPr="00DB4D9C" w:rsidRDefault="00DB4D9C" w:rsidP="00DB4D9C">
      <w:pPr>
        <w:shd w:val="clear" w:color="auto" w:fill="E8DFC2"/>
        <w:spacing w:before="100" w:beforeAutospacing="1" w:after="100" w:afterAutospacing="1" w:line="300" w:lineRule="atLeast"/>
        <w:ind w:left="0"/>
        <w:jc w:val="lef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DB4D9C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Закон Чувашской Республики от 27 декабря 2014 г. № 97 «О регулировании отдельных правоотношений, связанных с участием граждан в охране общественного порядка на территории Чувашской Республики»</w:t>
      </w:r>
    </w:p>
    <w:tbl>
      <w:tblPr>
        <w:tblW w:w="142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67"/>
        <w:gridCol w:w="3098"/>
      </w:tblGrid>
      <w:tr w:rsidR="00DB4D9C" w:rsidRPr="00DB4D9C" w:rsidTr="00DB4D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4D9C" w:rsidRPr="00DB4D9C" w:rsidRDefault="00DB4D9C" w:rsidP="00DB4D9C">
            <w:pPr>
              <w:spacing w:before="75" w:after="75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D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 декабря 2014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4D9C" w:rsidRPr="00DB4D9C" w:rsidRDefault="00DB4D9C" w:rsidP="00DB4D9C">
            <w:pPr>
              <w:spacing w:before="75" w:after="75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D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 97</w:t>
            </w:r>
          </w:p>
        </w:tc>
      </w:tr>
    </w:tbl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</w:t>
      </w: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ЧУВАШСКОЙ РЕСПУБЛИКИ </w:t>
      </w: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 РЕГУЛИРОВАНИИ ОТДЕЛЬНЫХ ПРАВООТНОШЕНИЙ, СВЯЗАННЫХ С УЧАСТИЕМ ГРАЖДАН</w:t>
      </w: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ОХРАНЕ ОБЩЕСТВЕННОГО ПОРЯДКА НА ТЕРРИТОРИИ ЧУВАШСКОЙ РЕСПУБЛИКИ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Принят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Государственным Советом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Чувашской Республики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19 декабря 2014 года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sub_1"/>
      <w:bookmarkEnd w:id="0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1. Предмет регулирования настоящего Закона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Настоящий Закон в соответствии с Федеральным законом от 2 апреля 2014 года N 44-ФЗ "Об участии граждан в охране общественного порядка" (далее - Федеральный закон) регулирует отдельные правоотношения, связанные с участием граждан Российской Федерации в охране общественного порядка на территории Чувашской Республики (далее также - общественный порядок).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" w:name="sub_2"/>
      <w:bookmarkEnd w:id="1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2. Основные понятия, используемые в настоящем Законе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настоящем Законе используются основные понятия, предусмотренные Федеральным законом.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" w:name="sub_3"/>
      <w:bookmarkEnd w:id="2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3. Правовая основа участия граждан в охране общественного порядка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Правовую основу участия граждан Российской Федерации (далее - граждане)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закон, другие федеральные законы и принятые в соответствии с ними иные нормативные правовые акты Российской Федерации, Конституция Чувашской Республики, настоящий Закон, другие законы Чувашской Республики и иные нормативные правовые акты Чувашской Республики, муниципальные нормативные правовые акты.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" w:name="sub_4"/>
      <w:bookmarkEnd w:id="3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Статья 4. Полномочия органов государственной власти Чувашской Республики по обеспечению участия граждан в охране общественного порядка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Органы государственной власти Чувашской Республики осуществляют следующие полномочия по обеспечению участия граждан в охране общественного порядка: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" w:name="sub_41"/>
      <w:bookmarkEnd w:id="4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принимают в пределах своей компетенции нормативные правовые акты Чувашской Республики, связанные с обеспечением участия граждан в охране общественного порядка;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" w:name="sub_42"/>
      <w:bookmarkEnd w:id="5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оказывают поддержку гражданам и их объединениям, участвующим в охране общественного порядка, в соответствии с полномочиями, установленными Федеральным законом, Федеральным законом 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и принятыми в соответствии с ними иными нормативными правовыми актами Российской Федерации, настоящим Законом, другими законами и иными нормативными правовыми актами Чувашской Республики;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" w:name="sub_43"/>
      <w:bookmarkEnd w:id="6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осуществляют иные полномочия, предусмотренные федеральными законами, иными нормативными правовыми актами Российской Федерации, настоящим Законом, другими законами и иными нормативными правовыми актами Чувашской Республики.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" w:name="sub_5"/>
      <w:bookmarkEnd w:id="7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5. Полномочия органов местного самоуправления по обеспечению участия граждан в охране общественного порядка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Органы местного самоуправления в соответствии с полномочиями, установленными Федеральным законом, Федеральным законом от 6 октября 2003 года N 131-ФЗ "Об общих принципах организации местного самоуправления в Российской Федерации", другими федеральными законами, настоящим Законом, другими законами Чувашской Республики и муниципальными нормативными правовыми актами, осуществляют следующие полномочия по обеспечению участия граждан в охране общественного порядка: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" w:name="sub_51"/>
      <w:bookmarkEnd w:id="8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оказывают поддержку гражданам и их объединениям, участвующим в охране общественного порядка, создают условия для деятельности народных дружин;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" w:name="sub_52"/>
      <w:bookmarkEnd w:id="9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устанавливают границы территории, на которой может быть создана народная дружина;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" w:name="sub_53"/>
      <w:bookmarkEnd w:id="10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осуществляют взаимодействие с органами государственной власти Чувашской Республики, органами внутренних дел (полицией) и иными правоохранительными органами;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" w:name="sub_54"/>
      <w:bookmarkEnd w:id="11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соответствующего муниципального образования;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" w:name="sub_55"/>
      <w:bookmarkEnd w:id="12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согласовывают кандидатуру командира народной дружины;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" w:name="sub_56"/>
      <w:bookmarkEnd w:id="13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размещают на своих официальных сайтах в информационно-телекоммуникационной сети "Интернет", а также в средствах массовой информации, в том числе на общероссийских обязательных общедоступных телеканалах и радиоканалах,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" w:name="sub_57"/>
      <w:bookmarkEnd w:id="14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осуществляют иные полномочия.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" w:name="sub_6"/>
      <w:bookmarkEnd w:id="15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6. Создание и деятельность народных дружин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" w:name="sub_61"/>
      <w:bookmarkEnd w:id="16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Создание, реорганизация и (или) ликвидация народных дружин осуществляются в порядке, определенном Федеральным законом от 19 мая 1995 года N 82-ФЗ "Об общественных объединениях" с учетом положений Федерального закона.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" w:name="sub_62"/>
      <w:bookmarkEnd w:id="17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2. Народные дружины действуют в соответствии с Федеральным законом, другими федеральными законами и принятыми в соответствии с ними иными нормативными правовыми актами Российской Федерации, настоящим Законом, другими законами Чувашской Республики и иными нормативными правовыми актами Чувашской Республики, муниципальными нормативными правовыми актами, а также уставом народной дружины.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" w:name="sub_63"/>
      <w:bookmarkEnd w:id="18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В соответствии с Федеральным законом народные дружины подлежат включению в реестр народных дружин и общественных объединений правоохранительной направленности в Чувашской Республике, ведение которого осуществляется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" w:name="sub_64"/>
      <w:bookmarkEnd w:id="19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Народные дружины решают стоящие перед ними задачи во взаимодействии с органами государственной власти Чувашской Республики, органами местного самоуправления, органами внутренних дел (полицией) и иными правоохранительными органами.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" w:name="sub_7"/>
      <w:bookmarkEnd w:id="20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7. Удостоверение и отличительная символика народных дружинников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" w:name="sub_71"/>
      <w:bookmarkEnd w:id="21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При участии в охране общественного порядка народные дружинники должны иметь при себе удостоверение народного дружинника и предъявлять его гражданам, к которым обращено требование о прекращении противоправного деяния, а также носить нарукавную повязку и нагрудный знак, используемые в качестве отличительной символики.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Образцы удостоверения народного дружинника, нарукавной повязки народного дружинника и нагрудного знака народного дружинника установлены соответственно приложениями 1-3 к настоящему Закону.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" w:name="sub_72"/>
      <w:bookmarkEnd w:id="22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Удостоверение народного дружинника подписывается командиром народной дружины, заверяется печатью народной дружины и выдается народным дружинникам командиром народной дружины в индивидуальном порядке под роспись в журнале учета и выдачи удостоверений и нагрудных знаков народных дружинников.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Журнал учета и выдачи удостоверений и нагрудных знаков народных дружинников ведется по форме согласно приложению 4 к настоящему Закону и должен быть пронумерован, прошит (прошнурован) и скреплен печатью народной дружины и подписью командира народной дружины.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" w:name="sub_73"/>
      <w:bookmarkEnd w:id="23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Замена удостоверения народного дружинника производится в случаях: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" w:name="sub_731"/>
      <w:bookmarkEnd w:id="24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изменения фамилии, имени или отчества владельца удостоверения;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5" w:name="sub_732"/>
      <w:bookmarkEnd w:id="25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установления неточностей или ошибочности произведенных в удостоверении записей;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6" w:name="sub_733"/>
      <w:bookmarkEnd w:id="26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непригодности для дальнейшего использования;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7" w:name="sub_734"/>
      <w:bookmarkEnd w:id="27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утери.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8" w:name="sub_74"/>
      <w:bookmarkEnd w:id="28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В случае утери или непригодности для дальнейшего использования нагрудного знака народного дружинника производится его замена. Утраченный нагрудный знак считается недействительным. Номер утраченного нагрудного знака не восстанавливается.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9" w:name="sub_75"/>
      <w:bookmarkEnd w:id="29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Замена удостоверения народного дружинника, нагрудного знака народного дружинника осуществляется на основании заявления народного дружинника о выдаче нового удостоверения (нагрудного знака).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случае изменения народным дружинником фамилии, имени или отчества к заявлению о выдаче нового удостоверения народного дружинника прилагаются документы, подтверждающие факт изменения фамилии, имени или отчества.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Замена удостоверения народного дружинника по основаниям, предусмотренным пунктами 1-3 части 3 настоящей статьи, и нагрудного знака народного дружинника в случае его непригодности для дальнейшего использования производится при условии возврата заменяемого удостоверения народного дружинника, нагрудного знака народного дружинника.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0" w:name="sub_76"/>
      <w:bookmarkEnd w:id="30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6. При исключении народного дружинника из народной дружины в случаях, предусмотренных Федеральным законом, удостоверение народного дружинника и нагрудный знак народного дружинника подлежат возврату командиру народной дружины в течение трех дней со дня исключения народного дружинника из народной дружины.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1" w:name="sub_77"/>
      <w:bookmarkEnd w:id="31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 Запрещается использование удостоверения народного дружинника и отличительной символики народного дружинника во время, не связанное с участием в охране общественного порядка.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2" w:name="sub_8"/>
      <w:bookmarkEnd w:id="32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8. Материально-техническое обеспечение деятельности народных дружин, материальное стимулирование, льготы и компенсации народных дружинников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3" w:name="sub_81"/>
      <w:bookmarkEnd w:id="33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Органы государственной власти Чувашской Республики,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4" w:name="sub_82"/>
      <w:bookmarkEnd w:id="34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Органы государственной власти Чувашской Республики за счет средств республиканского бюджета Чувашской Республики могут осуществлять материальное стимулирование деятельности народных дружинников.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Органы местного самоуправления могут осуществлять за счет средств местных бюджетов материальное стимулирование деятельности народных дружинников, устанавливать льготы и компенсации, предусмотренные Федеральным законом, а также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5" w:name="sub_83"/>
      <w:bookmarkEnd w:id="35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За особые заслуги в обеспечении общественного порядка, проявленные при этом личное мужество и героизм народные дружинники могут представляться в установленном законодательством Российской Федерации и законодательством Чувашской Республики порядке к государственным наградам Российской Федерации и государственным наградам Чувашской Республики.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6" w:name="sub_84"/>
      <w:bookmarkEnd w:id="36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Решения о предоставлении льгот и компенсаций народным дружинникам, об их размерах, а также иных мерах материального стимулирования принимаются представительным органом муниципального образования по представлению местной администрации.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7" w:name="sub_9"/>
      <w:bookmarkEnd w:id="37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9. Взаимодействие и координация деятельности народных дружин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8" w:name="sub_91"/>
      <w:bookmarkEnd w:id="38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В целях взаимодействия и координации деятельности народных дружин решениями органов местного самоуправления, на территории которых созданы народные дружины, могут создаваться координирующие органы (штабы) народных дружин муниципальных образований (далее - координирующие органы (штабы), в состав которых включаются командиры народных дружин, представители органов местного самоуправления, по согласованию представители подразделений органов внутренних дел (полиции) и иных правоохранительных органов и иные заинтересованные лица.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9" w:name="sub_92"/>
      <w:bookmarkEnd w:id="39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Положение о координирующем органе (штабе), определяющее его права, обязанности, численный состав и другие положения, регламентирующие деятельность координирующего органа (штаба), а также персональный состав координирующего органа (штаба) утверждаются органом местного самоуправления муниципального образования, принявшим решение о его создании в соответствии с настоящим Законом.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полномочиям координирующего органа (штаба) относятся: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0" w:name="sub_921"/>
      <w:bookmarkEnd w:id="40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обеспечение взаимодействия и координация деятельности народных дружин, созданных на территории соответствующего муниципального образования;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1" w:name="sub_922"/>
      <w:bookmarkEnd w:id="41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2) организация взаимодействия с органами государственной власти Чувашской Республики, органами местного самоуправления, органами внутренних дел (полицией) и иными правоохранительными органами, средствами массовой информации;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2" w:name="sub_923"/>
      <w:bookmarkEnd w:id="42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организация правового обучения народных дружинников;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3" w:name="sub_924"/>
      <w:bookmarkEnd w:id="43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осуществление пропаганды правовых знаний, активной гражданской позиции, нетерпимости к правонарушениям;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4" w:name="sub_925"/>
      <w:bookmarkEnd w:id="44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разработка мер по оказанию поддержки народным дружинам, созданным на территории соответствующего муниципального образования;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5" w:name="sub_926"/>
      <w:bookmarkEnd w:id="45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анализ и обобщение деятельности народных дружин, созданных на территории соответствующего муниципального образования, внесение в органы государственной власти Чувашской Республики, органы местного самоуправления предложений по вопросам устранения причин и условий, способствующих совершению правонарушений, а также совершенствования работы народных дружин;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6" w:name="sub_927"/>
      <w:bookmarkEnd w:id="46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осуществление иных полномочий в соответствии с положением о координирующем органе (штабе).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7" w:name="sub_93"/>
      <w:bookmarkEnd w:id="47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Общая координация деятельности народных дружин на территории Чувашской Республики осуществляется органом исполнительной власти Чувашской Республики, обеспечивающим деятельность Главы Чувашской Республики и Кабинета Министров Чувашской Республики.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8" w:name="sub_10"/>
      <w:bookmarkEnd w:id="48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10. Вступление в силу настоящего Закона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9" w:name="sub_101"/>
      <w:bookmarkEnd w:id="49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Настоящий Закон вступает в силу по истечении десяти дней после дня его официального опубликования.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0" w:name="sub_102"/>
      <w:bookmarkEnd w:id="50"/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Со дня вступления в силу настоящего Закона признать утратившим силу Закон Чувашской Республики от 25 ноября 2003 года N 35 "О народных дружинах в Чувашской Республике" (Ведомости Государственного Совета Чувашской Республики, 2003, N 57).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9"/>
        <w:gridCol w:w="2846"/>
      </w:tblGrid>
      <w:tr w:rsidR="00DB4D9C" w:rsidRPr="00DB4D9C" w:rsidTr="00DB4D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4D9C" w:rsidRPr="00DB4D9C" w:rsidRDefault="00DB4D9C" w:rsidP="00DB4D9C">
            <w:pPr>
              <w:spacing w:before="75" w:after="75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D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Чувашской  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4D9C" w:rsidRPr="00DB4D9C" w:rsidRDefault="00DB4D9C" w:rsidP="00DB4D9C">
            <w:pPr>
              <w:spacing w:before="75" w:after="75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D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М. Игнатьев</w:t>
            </w:r>
          </w:p>
        </w:tc>
      </w:tr>
    </w:tbl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г. Чебоксары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27 декабря 2014 года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 97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4D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4D9C" w:rsidRPr="00DB4D9C" w:rsidRDefault="00DB4D9C" w:rsidP="00DB4D9C">
      <w:pPr>
        <w:shd w:val="clear" w:color="auto" w:fill="F9F6F1"/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history="1">
        <w:r w:rsidRPr="00DB4D9C">
          <w:rPr>
            <w:rFonts w:ascii="Verdana" w:eastAsia="Times New Roman" w:hAnsi="Verdana" w:cs="Times New Roman"/>
            <w:color w:val="AB1B1B"/>
            <w:sz w:val="17"/>
            <w:u w:val="single"/>
            <w:lang w:eastAsia="ru-RU"/>
          </w:rPr>
          <w:t>Приложения к Закону</w:t>
        </w:r>
      </w:hyperlink>
    </w:p>
    <w:p w:rsidR="0069215C" w:rsidRDefault="0069215C"/>
    <w:sectPr w:rsidR="0069215C" w:rsidSect="0069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4D9C"/>
    <w:rsid w:val="004F55E3"/>
    <w:rsid w:val="00523E22"/>
    <w:rsid w:val="0069215C"/>
    <w:rsid w:val="0075132F"/>
    <w:rsid w:val="00DB4D9C"/>
    <w:rsid w:val="00E34A3B"/>
    <w:rsid w:val="00E9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5C"/>
  </w:style>
  <w:style w:type="paragraph" w:styleId="1">
    <w:name w:val="heading 1"/>
    <w:basedOn w:val="a"/>
    <w:link w:val="10"/>
    <w:uiPriority w:val="9"/>
    <w:qFormat/>
    <w:rsid w:val="00DB4D9C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4D9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D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B1B1B"/>
            <w:right w:val="none" w:sz="0" w:space="0" w:color="auto"/>
          </w:divBdr>
        </w:div>
        <w:div w:id="445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3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.cap.ru/UserFiles/orgs/GrvId_712/prilogeniya_k_zakonu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2063</Words>
  <Characters>11765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3964</dc:creator>
  <cp:lastModifiedBy>3964</cp:lastModifiedBy>
  <cp:revision>1</cp:revision>
  <dcterms:created xsi:type="dcterms:W3CDTF">2018-09-27T08:20:00Z</dcterms:created>
  <dcterms:modified xsi:type="dcterms:W3CDTF">2018-09-27T08:20:00Z</dcterms:modified>
</cp:coreProperties>
</file>