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4" w:type="dxa"/>
        <w:tblLook w:val="0000" w:firstRow="0" w:lastRow="0" w:firstColumn="0" w:lastColumn="0" w:noHBand="0" w:noVBand="0"/>
      </w:tblPr>
      <w:tblGrid>
        <w:gridCol w:w="4962"/>
        <w:gridCol w:w="709"/>
        <w:gridCol w:w="4163"/>
      </w:tblGrid>
      <w:tr w:rsidR="0061089D" w:rsidTr="00405602">
        <w:trPr>
          <w:cantSplit/>
          <w:trHeight w:val="420"/>
        </w:trPr>
        <w:tc>
          <w:tcPr>
            <w:tcW w:w="4962" w:type="dxa"/>
          </w:tcPr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1089D" w:rsidRDefault="0061089D" w:rsidP="000C708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</w:p>
        </w:tc>
        <w:tc>
          <w:tcPr>
            <w:tcW w:w="709" w:type="dxa"/>
            <w:vMerge w:val="restart"/>
          </w:tcPr>
          <w:p w:rsidR="0061089D" w:rsidRPr="0061089D" w:rsidRDefault="004857CB" w:rsidP="000C708D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-384175</wp:posOffset>
                  </wp:positionH>
                  <wp:positionV relativeFrom="paragraph">
                    <wp:posOffset>-9525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3" w:type="dxa"/>
          </w:tcPr>
          <w:p w:rsidR="0061089D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61089D" w:rsidRDefault="0061089D" w:rsidP="000C708D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61089D" w:rsidRPr="00B1305C" w:rsidTr="00405602">
        <w:trPr>
          <w:cantSplit/>
          <w:trHeight w:val="4433"/>
        </w:trPr>
        <w:tc>
          <w:tcPr>
            <w:tcW w:w="4962" w:type="dxa"/>
          </w:tcPr>
          <w:p w:rsidR="001B2AD6" w:rsidRPr="00B1305C" w:rsidRDefault="0061089D" w:rsidP="000C708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ЮНТАПА ЯЛ </w:t>
            </w:r>
          </w:p>
          <w:p w:rsidR="001B2AD6" w:rsidRPr="00B1305C" w:rsidRDefault="001B2AD6" w:rsidP="001B2AD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ПОСЕЛЕНИЙĚН </w:t>
            </w:r>
          </w:p>
          <w:p w:rsidR="0061089D" w:rsidRPr="00B1305C" w:rsidRDefault="0061089D" w:rsidP="00405602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</w:t>
            </w:r>
            <w:r w:rsidR="001B2AD6"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="00405602"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61089D" w:rsidRPr="00B1305C" w:rsidRDefault="0061089D" w:rsidP="00405602"/>
          <w:p w:rsidR="0061089D" w:rsidRPr="00B1305C" w:rsidRDefault="0061089D" w:rsidP="0040560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1305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1089D" w:rsidRPr="00B1305C" w:rsidRDefault="0061089D" w:rsidP="00405602"/>
          <w:p w:rsidR="0061089D" w:rsidRPr="00B1305C" w:rsidRDefault="0061089D" w:rsidP="0040560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 w:rsidR="004E51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</w:t>
            </w:r>
            <w:r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="00D03690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F3841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июл</w:t>
            </w:r>
            <w:r w:rsidR="004B1113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</w:t>
            </w:r>
            <w:r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201</w:t>
            </w:r>
            <w:r w:rsidR="00B5342F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№</w:t>
            </w:r>
            <w:r w:rsidR="00526D0E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F3841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4E51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  <w:p w:rsidR="0061089D" w:rsidRPr="00B1305C" w:rsidRDefault="0061089D" w:rsidP="002E704C">
            <w:pPr>
              <w:jc w:val="center"/>
              <w:rPr>
                <w:noProof/>
                <w:color w:val="000000"/>
              </w:rPr>
            </w:pPr>
            <w:r w:rsidRPr="00B1305C">
              <w:rPr>
                <w:noProof/>
                <w:color w:val="000000"/>
              </w:rPr>
              <w:t>Юнтапа сали</w:t>
            </w:r>
          </w:p>
          <w:p w:rsidR="00AC171D" w:rsidRPr="00B1305C" w:rsidRDefault="00AC171D" w:rsidP="000C708D">
            <w:pPr>
              <w:jc w:val="center"/>
              <w:rPr>
                <w:noProof/>
                <w:color w:val="000000"/>
              </w:rPr>
            </w:pPr>
          </w:p>
          <w:p w:rsidR="007F5DDE" w:rsidRPr="00B1305C" w:rsidRDefault="007F5DDE" w:rsidP="007F5DDE">
            <w:pPr>
              <w:rPr>
                <w:b/>
                <w:bCs/>
              </w:rPr>
            </w:pPr>
            <w:r w:rsidRPr="00B1305C">
              <w:rPr>
                <w:b/>
                <w:bCs/>
              </w:rPr>
              <w:t xml:space="preserve">Об основных направлениях </w:t>
            </w:r>
          </w:p>
          <w:p w:rsidR="007F5DDE" w:rsidRPr="00B1305C" w:rsidRDefault="00BB2033" w:rsidP="007F5DDE">
            <w:pPr>
              <w:rPr>
                <w:b/>
                <w:bCs/>
              </w:rPr>
            </w:pPr>
            <w:r w:rsidRPr="00B1305C">
              <w:rPr>
                <w:b/>
                <w:bCs/>
              </w:rPr>
              <w:t xml:space="preserve">бюджетной политики </w:t>
            </w:r>
            <w:proofErr w:type="spellStart"/>
            <w:r w:rsidRPr="00B1305C">
              <w:rPr>
                <w:b/>
                <w:bCs/>
              </w:rPr>
              <w:t>Яндобинского</w:t>
            </w:r>
            <w:proofErr w:type="spellEnd"/>
          </w:p>
          <w:p w:rsidR="007F5DDE" w:rsidRPr="00B1305C" w:rsidRDefault="007F5DDE" w:rsidP="007F5DDE">
            <w:pPr>
              <w:rPr>
                <w:b/>
                <w:bCs/>
              </w:rPr>
            </w:pPr>
            <w:r w:rsidRPr="00B1305C">
              <w:rPr>
                <w:b/>
                <w:bCs/>
              </w:rPr>
              <w:t xml:space="preserve">сельского поселения </w:t>
            </w:r>
            <w:proofErr w:type="spellStart"/>
            <w:r w:rsidRPr="00B1305C">
              <w:rPr>
                <w:b/>
                <w:bCs/>
              </w:rPr>
              <w:t>Аликовского</w:t>
            </w:r>
            <w:proofErr w:type="spellEnd"/>
            <w:r w:rsidRPr="00B1305C">
              <w:rPr>
                <w:b/>
                <w:bCs/>
              </w:rPr>
              <w:t xml:space="preserve"> </w:t>
            </w:r>
          </w:p>
          <w:p w:rsidR="007F5DDE" w:rsidRPr="00B1305C" w:rsidRDefault="007F5DDE" w:rsidP="007F5DDE">
            <w:pPr>
              <w:rPr>
                <w:b/>
                <w:bCs/>
              </w:rPr>
            </w:pPr>
            <w:r w:rsidRPr="00B1305C">
              <w:rPr>
                <w:b/>
                <w:bCs/>
              </w:rPr>
              <w:t>района Чувашской Республики на 2019 год и на плановый период 2020 и 2021 годов</w:t>
            </w:r>
          </w:p>
          <w:p w:rsidR="003F3841" w:rsidRPr="00B1305C" w:rsidRDefault="003F3841" w:rsidP="006A23F5">
            <w:pPr>
              <w:jc w:val="both"/>
              <w:rPr>
                <w:iCs/>
              </w:rPr>
            </w:pPr>
          </w:p>
          <w:p w:rsidR="007F5DDE" w:rsidRPr="00B1305C" w:rsidRDefault="007F5DDE" w:rsidP="006A23F5">
            <w:pPr>
              <w:jc w:val="both"/>
              <w:rPr>
                <w:iCs/>
              </w:rPr>
            </w:pPr>
          </w:p>
        </w:tc>
        <w:tc>
          <w:tcPr>
            <w:tcW w:w="709" w:type="dxa"/>
            <w:vMerge/>
          </w:tcPr>
          <w:p w:rsidR="0061089D" w:rsidRPr="00B1305C" w:rsidRDefault="0061089D" w:rsidP="000C708D">
            <w:pPr>
              <w:jc w:val="center"/>
            </w:pPr>
          </w:p>
        </w:tc>
        <w:tc>
          <w:tcPr>
            <w:tcW w:w="4163" w:type="dxa"/>
          </w:tcPr>
          <w:p w:rsidR="0061089D" w:rsidRPr="00B1305C" w:rsidRDefault="001B2AD6" w:rsidP="001B2AD6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АДМИНИСТРАЦИЯ</w:t>
            </w:r>
          </w:p>
          <w:p w:rsidR="0061089D" w:rsidRPr="00B1305C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ЯНДОБИНСКОГО СЕЛЬСКОГО </w:t>
            </w:r>
          </w:p>
          <w:p w:rsidR="0061089D" w:rsidRPr="00B1305C" w:rsidRDefault="0061089D" w:rsidP="000C708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1089D" w:rsidRPr="00B1305C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61089D" w:rsidRPr="00B1305C" w:rsidRDefault="0061089D" w:rsidP="000C708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1305C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1089D" w:rsidRPr="00B1305C" w:rsidRDefault="0061089D" w:rsidP="000C708D"/>
          <w:p w:rsidR="0061089D" w:rsidRPr="00B1305C" w:rsidRDefault="001B2AD6" w:rsidP="001B2AD6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 w:rsidR="00AC171D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 w:rsidR="004E51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</w:t>
            </w:r>
            <w:r w:rsidR="00D03690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="0061089D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F3841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июл</w:t>
            </w:r>
            <w:r w:rsidR="004B1113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</w:t>
            </w:r>
            <w:r w:rsidR="0061089D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201</w:t>
            </w:r>
            <w:r w:rsidR="00B5342F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61089D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№ </w:t>
            </w:r>
            <w:r w:rsidR="004B1113" w:rsidRPr="00B1305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4E51B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  <w:p w:rsidR="0061089D" w:rsidRPr="00B1305C" w:rsidRDefault="0061089D" w:rsidP="000C708D">
            <w:pPr>
              <w:ind w:left="348"/>
              <w:jc w:val="center"/>
              <w:rPr>
                <w:noProof/>
                <w:color w:val="000000"/>
              </w:rPr>
            </w:pPr>
            <w:r w:rsidRPr="00B1305C">
              <w:rPr>
                <w:noProof/>
                <w:color w:val="000000"/>
              </w:rPr>
              <w:t>село Яндоба</w:t>
            </w:r>
          </w:p>
          <w:p w:rsidR="0061089D" w:rsidRPr="00B1305C" w:rsidRDefault="0061089D" w:rsidP="000C708D">
            <w:pPr>
              <w:ind w:left="348"/>
              <w:jc w:val="center"/>
              <w:rPr>
                <w:noProof/>
                <w:color w:val="000000"/>
              </w:rPr>
            </w:pPr>
          </w:p>
          <w:p w:rsidR="0061089D" w:rsidRPr="00B1305C" w:rsidRDefault="0061089D" w:rsidP="000C708D">
            <w:pPr>
              <w:ind w:left="348"/>
              <w:jc w:val="center"/>
              <w:rPr>
                <w:noProof/>
                <w:color w:val="000000"/>
              </w:rPr>
            </w:pPr>
          </w:p>
          <w:p w:rsidR="0061089D" w:rsidRPr="00B1305C" w:rsidRDefault="0061089D" w:rsidP="000C708D">
            <w:pPr>
              <w:ind w:left="348"/>
              <w:jc w:val="center"/>
              <w:rPr>
                <w:noProof/>
                <w:color w:val="000000"/>
              </w:rPr>
            </w:pPr>
          </w:p>
          <w:p w:rsidR="0061089D" w:rsidRPr="00B1305C" w:rsidRDefault="0061089D" w:rsidP="000C708D">
            <w:pPr>
              <w:ind w:left="348"/>
              <w:jc w:val="center"/>
              <w:rPr>
                <w:noProof/>
                <w:color w:val="000000"/>
              </w:rPr>
            </w:pPr>
          </w:p>
          <w:p w:rsidR="0061089D" w:rsidRPr="00B1305C" w:rsidRDefault="0061089D" w:rsidP="000C708D">
            <w:pPr>
              <w:ind w:left="348"/>
              <w:jc w:val="center"/>
              <w:rPr>
                <w:noProof/>
                <w:color w:val="000000"/>
              </w:rPr>
            </w:pPr>
          </w:p>
        </w:tc>
      </w:tr>
    </w:tbl>
    <w:p w:rsidR="00BB2033" w:rsidRPr="00B1305C" w:rsidRDefault="00BB2033" w:rsidP="00BB2033">
      <w:pPr>
        <w:pStyle w:val="af"/>
        <w:jc w:val="both"/>
        <w:rPr>
          <w:sz w:val="24"/>
          <w:szCs w:val="24"/>
        </w:rPr>
      </w:pPr>
      <w:r w:rsidRPr="00B1305C">
        <w:rPr>
          <w:sz w:val="24"/>
          <w:szCs w:val="24"/>
        </w:rPr>
        <w:t xml:space="preserve">        Руководствуясь Указом Главы Чувашской Республики от 02 июня 2018 года № 70, статьей 40 Положения «О  регулировании бюджетных правоотношений в </w:t>
      </w:r>
      <w:proofErr w:type="spellStart"/>
      <w:r w:rsidRPr="00B1305C">
        <w:rPr>
          <w:sz w:val="24"/>
          <w:szCs w:val="24"/>
        </w:rPr>
        <w:t>Яндобинском</w:t>
      </w:r>
      <w:proofErr w:type="spellEnd"/>
      <w:r w:rsidRPr="00B1305C">
        <w:rPr>
          <w:sz w:val="24"/>
          <w:szCs w:val="24"/>
        </w:rPr>
        <w:t xml:space="preserve"> сельском поселении </w:t>
      </w:r>
      <w:proofErr w:type="spellStart"/>
      <w:r w:rsidRPr="00B1305C">
        <w:rPr>
          <w:sz w:val="24"/>
          <w:szCs w:val="24"/>
        </w:rPr>
        <w:t>Аликовского</w:t>
      </w:r>
      <w:proofErr w:type="spellEnd"/>
      <w:r w:rsidRPr="00B1305C">
        <w:rPr>
          <w:sz w:val="24"/>
          <w:szCs w:val="24"/>
        </w:rPr>
        <w:t xml:space="preserve"> района Чувашской Республики», утвержденного решением Собрания депутатов </w:t>
      </w:r>
      <w:proofErr w:type="spellStart"/>
      <w:r w:rsidRPr="00B1305C">
        <w:rPr>
          <w:sz w:val="24"/>
          <w:szCs w:val="24"/>
        </w:rPr>
        <w:t>Яндобинского</w:t>
      </w:r>
      <w:proofErr w:type="spellEnd"/>
      <w:r w:rsidRPr="00B1305C">
        <w:rPr>
          <w:sz w:val="24"/>
          <w:szCs w:val="24"/>
        </w:rPr>
        <w:t xml:space="preserve"> сельского поселения </w:t>
      </w:r>
      <w:proofErr w:type="spellStart"/>
      <w:r w:rsidRPr="00B1305C">
        <w:rPr>
          <w:sz w:val="24"/>
          <w:szCs w:val="24"/>
        </w:rPr>
        <w:t>Аликовского</w:t>
      </w:r>
      <w:proofErr w:type="spellEnd"/>
      <w:r w:rsidRPr="00B1305C">
        <w:rPr>
          <w:sz w:val="24"/>
          <w:szCs w:val="24"/>
        </w:rPr>
        <w:t xml:space="preserve"> района </w:t>
      </w:r>
      <w:r w:rsidR="004E51B9">
        <w:rPr>
          <w:sz w:val="24"/>
          <w:szCs w:val="24"/>
        </w:rPr>
        <w:t>Чувашской Республики от 14.11.2014 г. № 145 (с изменениями от 05.05.2015 г. №166, от 06.09.2016 г. №54</w:t>
      </w:r>
      <w:r w:rsidRPr="00B1305C">
        <w:rPr>
          <w:sz w:val="24"/>
          <w:szCs w:val="24"/>
        </w:rPr>
        <w:t xml:space="preserve">)  администрация </w:t>
      </w:r>
      <w:proofErr w:type="spellStart"/>
      <w:r w:rsidRPr="00B1305C">
        <w:rPr>
          <w:sz w:val="24"/>
          <w:szCs w:val="24"/>
        </w:rPr>
        <w:t>Яндобинского</w:t>
      </w:r>
      <w:proofErr w:type="spellEnd"/>
      <w:r w:rsidRPr="00B1305C">
        <w:rPr>
          <w:sz w:val="24"/>
          <w:szCs w:val="24"/>
        </w:rPr>
        <w:t xml:space="preserve"> сельско</w:t>
      </w:r>
      <w:r w:rsidR="004E51B9">
        <w:rPr>
          <w:sz w:val="24"/>
          <w:szCs w:val="24"/>
        </w:rPr>
        <w:t xml:space="preserve">го поселения </w:t>
      </w:r>
      <w:proofErr w:type="spellStart"/>
      <w:r w:rsidR="004E51B9">
        <w:rPr>
          <w:sz w:val="24"/>
          <w:szCs w:val="24"/>
        </w:rPr>
        <w:t>Аликовского</w:t>
      </w:r>
      <w:proofErr w:type="spellEnd"/>
      <w:r w:rsidR="004E51B9">
        <w:rPr>
          <w:sz w:val="24"/>
          <w:szCs w:val="24"/>
        </w:rPr>
        <w:t xml:space="preserve"> </w:t>
      </w:r>
      <w:proofErr w:type="spellStart"/>
      <w:r w:rsidR="004E51B9">
        <w:rPr>
          <w:sz w:val="24"/>
          <w:szCs w:val="24"/>
        </w:rPr>
        <w:t>района</w:t>
      </w:r>
      <w:r w:rsidRPr="00B1305C">
        <w:rPr>
          <w:sz w:val="24"/>
          <w:szCs w:val="24"/>
        </w:rPr>
        <w:t>Чувашской</w:t>
      </w:r>
      <w:proofErr w:type="spellEnd"/>
      <w:r w:rsidRPr="00B1305C">
        <w:rPr>
          <w:sz w:val="24"/>
          <w:szCs w:val="24"/>
        </w:rPr>
        <w:t xml:space="preserve"> Республики п о с т а н о в л я е т:</w:t>
      </w:r>
    </w:p>
    <w:p w:rsidR="00BB2033" w:rsidRPr="00B1305C" w:rsidRDefault="00BB2033" w:rsidP="00BB2033">
      <w:pPr>
        <w:pStyle w:val="af"/>
        <w:jc w:val="both"/>
        <w:rPr>
          <w:rFonts w:ascii="TimesET" w:hAnsi="TimesET" w:cs="Calibri"/>
          <w:sz w:val="24"/>
          <w:szCs w:val="24"/>
        </w:rPr>
      </w:pPr>
      <w:r w:rsidRPr="00B1305C">
        <w:rPr>
          <w:sz w:val="24"/>
          <w:szCs w:val="24"/>
        </w:rPr>
        <w:t xml:space="preserve">        </w:t>
      </w:r>
      <w:r w:rsidRPr="00B1305C">
        <w:rPr>
          <w:rFonts w:ascii="TimesET" w:hAnsi="TimesET" w:cs="Calibri"/>
          <w:sz w:val="24"/>
          <w:szCs w:val="24"/>
        </w:rPr>
        <w:t xml:space="preserve">1. Основными направлениями в обеспечении устойчивого функционирования бюджетной системы </w:t>
      </w:r>
      <w:proofErr w:type="spellStart"/>
      <w:r w:rsidRPr="00B1305C">
        <w:rPr>
          <w:rFonts w:ascii="TimesET" w:hAnsi="TimesET" w:cs="Calibri"/>
          <w:sz w:val="24"/>
          <w:szCs w:val="24"/>
        </w:rPr>
        <w:t>Яндобинского</w:t>
      </w:r>
      <w:proofErr w:type="spellEnd"/>
      <w:r w:rsidRPr="00B1305C">
        <w:rPr>
          <w:rFonts w:ascii="TimesET" w:hAnsi="TimesET" w:cs="Calibri"/>
          <w:sz w:val="24"/>
          <w:szCs w:val="24"/>
        </w:rPr>
        <w:t xml:space="preserve"> сельского поселения </w:t>
      </w:r>
      <w:proofErr w:type="spellStart"/>
      <w:r w:rsidRPr="00B1305C">
        <w:rPr>
          <w:rFonts w:ascii="TimesET" w:hAnsi="TimesET" w:cs="Calibri"/>
          <w:sz w:val="24"/>
          <w:szCs w:val="24"/>
        </w:rPr>
        <w:t>Аликовского</w:t>
      </w:r>
      <w:proofErr w:type="spellEnd"/>
      <w:r w:rsidRPr="00B1305C">
        <w:rPr>
          <w:rFonts w:ascii="TimesET" w:hAnsi="TimesET" w:cs="Calibri"/>
          <w:sz w:val="24"/>
          <w:szCs w:val="24"/>
        </w:rPr>
        <w:t xml:space="preserve"> района Чувашской Республики на 2019 год и на плановый период 2020 и 2021 годов определить: 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проведение взвешенной бюджетной и долговой политики, позволяющей обеспечить в полном объеме финансирование всех принятых расходных обязательств при поддержании безопасного уровня долговой нагрузки на бюджет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Республики;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формирование реалистичных планов по доходам и расходам, основанных на объективных прогнозах социально-экономического развития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Республики;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создание условий для опережающего социально-экономического развития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Республики.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2. Администрации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 обеспечить: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развитие доходного потенциала, рост собственных доходов бюджета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Республики, повышение инвестиционной привлекательности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Республики; 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повышение качества администрирования доходов бюджета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 на основе межведомственного взаимодействия органов местного самоуправления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района,  </w:t>
      </w:r>
      <w:proofErr w:type="spellStart"/>
      <w:r w:rsidRPr="00B1305C">
        <w:t>Аликовского</w:t>
      </w:r>
      <w:proofErr w:type="spellEnd"/>
      <w:r w:rsidRPr="00B1305C">
        <w:t xml:space="preserve"> районного отдела судебных приставов по Чувашской Республике, межрайонной инспекции федеральной налоговой службы № 3 по Чувашской Республике и других </w:t>
      </w:r>
      <w:proofErr w:type="spellStart"/>
      <w:r w:rsidRPr="00B1305C">
        <w:t>контрольно</w:t>
      </w:r>
      <w:proofErr w:type="spellEnd"/>
      <w:r w:rsidRPr="00B1305C">
        <w:t xml:space="preserve"> – надзорных органов и  предотвращение роста дебиторской задолженности по доходам;</w:t>
      </w:r>
    </w:p>
    <w:p w:rsidR="00BB2033" w:rsidRPr="00B1305C" w:rsidRDefault="00BB2033" w:rsidP="00BB2033">
      <w:pPr>
        <w:spacing w:line="228" w:lineRule="auto"/>
        <w:ind w:firstLine="709"/>
        <w:jc w:val="both"/>
      </w:pPr>
      <w:r w:rsidRPr="00B1305C">
        <w:t xml:space="preserve">повышение эффективности работы с муниципальным имуществом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Республики, направленной на увеличение доходов бюджета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 и оптимизацию расходов, направляемых на содержание имущества, закрепленного на праве оперативного управления за сельским поселением;</w:t>
      </w:r>
    </w:p>
    <w:p w:rsidR="00BB2033" w:rsidRPr="00B1305C" w:rsidRDefault="00BB2033" w:rsidP="00BB2033">
      <w:pPr>
        <w:spacing w:line="228" w:lineRule="auto"/>
        <w:ind w:firstLine="709"/>
        <w:jc w:val="both"/>
      </w:pPr>
      <w:r w:rsidRPr="00B1305C">
        <w:lastRenderedPageBreak/>
        <w:t xml:space="preserve">недопущение принятия новых расходных обязательств, не обеспеченных стабильными доходными источниками; </w:t>
      </w:r>
    </w:p>
    <w:p w:rsidR="00BB2033" w:rsidRPr="00B1305C" w:rsidRDefault="00BB2033" w:rsidP="00BB2033">
      <w:pPr>
        <w:spacing w:line="228" w:lineRule="auto"/>
        <w:ind w:firstLine="709"/>
        <w:jc w:val="both"/>
      </w:pPr>
      <w:r w:rsidRPr="00B1305C">
        <w:t xml:space="preserve">дальнейшее совершенствование системы ведения реестров расходных полномочий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Республики;</w:t>
      </w:r>
    </w:p>
    <w:p w:rsidR="00BB2033" w:rsidRPr="00B1305C" w:rsidRDefault="00BB2033" w:rsidP="00BB2033">
      <w:pPr>
        <w:spacing w:line="228" w:lineRule="auto"/>
        <w:ind w:firstLine="709"/>
        <w:jc w:val="both"/>
      </w:pPr>
      <w:r w:rsidRPr="00B1305C">
        <w:t xml:space="preserve">внедрение механизма социального заказа на оказание муниципальных услуг, увеличение доли расходов бюджета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Республики, предоставляемых социально ориентиро</w:t>
      </w:r>
      <w:r w:rsidRPr="00B1305C">
        <w:softHyphen/>
        <w:t>ванным некоммерческим организациям, осуществляющим деятельность в социальной сфере;</w:t>
      </w:r>
    </w:p>
    <w:p w:rsidR="00BB2033" w:rsidRPr="00B1305C" w:rsidRDefault="00BB2033" w:rsidP="00BB2033">
      <w:pPr>
        <w:spacing w:line="228" w:lineRule="auto"/>
        <w:ind w:firstLine="709"/>
        <w:jc w:val="both"/>
      </w:pPr>
      <w:r w:rsidRPr="00B1305C">
        <w:t xml:space="preserve">дальнейшее повышение операционной эффективности управления расходами, в том числе посредством проведения кассовых выплат «под текущую фактическую потребность»; </w:t>
      </w:r>
    </w:p>
    <w:p w:rsidR="00BB2033" w:rsidRPr="00B1305C" w:rsidRDefault="00BB2033" w:rsidP="00BB2033">
      <w:pPr>
        <w:spacing w:line="228" w:lineRule="auto"/>
        <w:ind w:firstLine="709"/>
        <w:jc w:val="both"/>
      </w:pPr>
      <w:r w:rsidRPr="00B1305C">
        <w:t xml:space="preserve">недопущение роста дебиторской и кредиторской задолженности, а также образования просроченной кредиторской задолженности бюджета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Республики;</w:t>
      </w:r>
    </w:p>
    <w:p w:rsidR="00BB2033" w:rsidRPr="00B1305C" w:rsidRDefault="00BB2033" w:rsidP="00BB2033">
      <w:pPr>
        <w:spacing w:line="228" w:lineRule="auto"/>
        <w:ind w:firstLine="709"/>
        <w:jc w:val="both"/>
      </w:pPr>
      <w:r w:rsidRPr="00B1305C">
        <w:t>усиление контроля за качеством формирования и реалистичностью прогноза доходов и расходов бюджета поселения, а также за эффективностью выполнения утвержденных администрациями сельских поселений планов мероприятий («дорожных карт») по оптимизации бюджетных расходов, сокращению нерезультативных расходов, увеличению собственных доходов;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повысить эффективность и оперативность исполнения бюджета </w:t>
      </w:r>
      <w:proofErr w:type="spellStart"/>
      <w:r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 по расходам;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обеспечить организацию и совершенствование системы ведомственного контроля в сфере закупок товаров, работ, услуг для обеспечения </w:t>
      </w:r>
      <w:r w:rsidR="00B1305C" w:rsidRPr="00B1305C">
        <w:t xml:space="preserve">муниципальных нужд </w:t>
      </w:r>
      <w:proofErr w:type="spellStart"/>
      <w:r w:rsidR="00B1305C" w:rsidRPr="00B1305C">
        <w:t>Яндобинского</w:t>
      </w:r>
      <w:proofErr w:type="spellEnd"/>
      <w:r w:rsidRPr="00B1305C">
        <w:t xml:space="preserve"> сельского поселения </w:t>
      </w:r>
      <w:proofErr w:type="spellStart"/>
      <w:r w:rsidRPr="00B1305C">
        <w:t>Аликовского</w:t>
      </w:r>
      <w:proofErr w:type="spellEnd"/>
      <w:r w:rsidRPr="00B1305C">
        <w:t xml:space="preserve"> района Чувашской Республики;</w:t>
      </w:r>
    </w:p>
    <w:p w:rsidR="00BB2033" w:rsidRPr="00B1305C" w:rsidRDefault="00BB2033" w:rsidP="00BB2033">
      <w:pPr>
        <w:ind w:firstLine="709"/>
        <w:jc w:val="both"/>
      </w:pPr>
      <w:r w:rsidRPr="00B1305C">
        <w:t>обеспечить информирование населения в доступной форме о планируемых и достигнутых результатах деятельности, использовании бюджетных средств.</w:t>
      </w:r>
    </w:p>
    <w:p w:rsidR="00BB2033" w:rsidRPr="00B1305C" w:rsidRDefault="00BB2033" w:rsidP="00BB2033">
      <w:pPr>
        <w:ind w:firstLine="709"/>
        <w:jc w:val="both"/>
      </w:pPr>
      <w:r w:rsidRPr="00B1305C">
        <w:t xml:space="preserve">принять меры по снижению уровня </w:t>
      </w:r>
      <w:proofErr w:type="spellStart"/>
      <w:r w:rsidRPr="00B1305C">
        <w:t>дотационности</w:t>
      </w:r>
      <w:proofErr w:type="spellEnd"/>
      <w:r w:rsidRPr="00B1305C">
        <w:t xml:space="preserve"> муниципального образования и росту налоговых и неналоговых доходов бюджета сельского поселения;</w:t>
      </w:r>
    </w:p>
    <w:p w:rsidR="00BB2033" w:rsidRPr="00B1305C" w:rsidRDefault="00BB2033" w:rsidP="00BB2033">
      <w:pPr>
        <w:ind w:firstLine="709"/>
        <w:jc w:val="both"/>
      </w:pPr>
      <w:r w:rsidRPr="00B1305C">
        <w:t>не допускать роста дебиторской и кредиторской задолженности;</w:t>
      </w:r>
    </w:p>
    <w:p w:rsidR="00BB2033" w:rsidRPr="00B1305C" w:rsidRDefault="00BB2033" w:rsidP="00BB2033">
      <w:pPr>
        <w:ind w:firstLine="709"/>
        <w:jc w:val="both"/>
      </w:pPr>
      <w:r w:rsidRPr="00B1305C">
        <w:t>продолжить внедрение принципов инициативного бюджетирования, расширять практику общественного участия в управлении муниципальными финансами;</w:t>
      </w:r>
    </w:p>
    <w:p w:rsidR="00BB2033" w:rsidRPr="00B1305C" w:rsidRDefault="00BB2033" w:rsidP="00BB2033">
      <w:pPr>
        <w:ind w:firstLine="709"/>
        <w:jc w:val="both"/>
      </w:pPr>
      <w:r w:rsidRPr="00B1305C">
        <w:t>продолжить работу по повышению уровня информационной открытости бюджетных данных.</w:t>
      </w:r>
    </w:p>
    <w:p w:rsidR="00BB2033" w:rsidRPr="00B1305C" w:rsidRDefault="00BB2033" w:rsidP="00BB2033">
      <w:pPr>
        <w:pStyle w:val="a7"/>
        <w:spacing w:before="0" w:beforeAutospacing="0" w:after="0" w:afterAutospacing="0"/>
        <w:ind w:firstLine="708"/>
        <w:jc w:val="both"/>
      </w:pPr>
      <w:r w:rsidRPr="00B1305C">
        <w:t>3. Настоящее постановление подлежит официальному опубликованию.</w:t>
      </w:r>
    </w:p>
    <w:p w:rsidR="00110E97" w:rsidRPr="00B1305C" w:rsidRDefault="00110E97" w:rsidP="00110E97">
      <w:pPr>
        <w:autoSpaceDE w:val="0"/>
        <w:autoSpaceDN w:val="0"/>
        <w:adjustRightInd w:val="0"/>
        <w:ind w:right="5400"/>
        <w:jc w:val="both"/>
        <w:rPr>
          <w:bCs/>
        </w:rPr>
      </w:pPr>
    </w:p>
    <w:p w:rsidR="006A23F5" w:rsidRPr="00B1305C" w:rsidRDefault="003F3841" w:rsidP="00093145">
      <w:r w:rsidRPr="00B1305C">
        <w:t xml:space="preserve">Глава </w:t>
      </w:r>
      <w:proofErr w:type="spellStart"/>
      <w:r w:rsidRPr="00B1305C">
        <w:t>Яндобинского</w:t>
      </w:r>
      <w:proofErr w:type="spellEnd"/>
      <w:r w:rsidRPr="00B1305C">
        <w:t xml:space="preserve"> </w:t>
      </w:r>
    </w:p>
    <w:p w:rsidR="00770A3A" w:rsidRPr="00B1305C" w:rsidRDefault="003F3841" w:rsidP="00093145">
      <w:r w:rsidRPr="00B1305C">
        <w:t xml:space="preserve">сельского поселения                            </w:t>
      </w:r>
      <w:r w:rsidR="006A23F5" w:rsidRPr="00B1305C">
        <w:t xml:space="preserve">                             </w:t>
      </w:r>
      <w:r w:rsidRPr="00B1305C">
        <w:t xml:space="preserve">                          </w:t>
      </w:r>
      <w:r w:rsidR="00093145" w:rsidRPr="00B1305C">
        <w:t xml:space="preserve">               </w:t>
      </w:r>
      <w:r w:rsidRPr="00B1305C">
        <w:t xml:space="preserve"> </w:t>
      </w:r>
      <w:r w:rsidR="00842177" w:rsidRPr="00B1305C">
        <w:t xml:space="preserve">          </w:t>
      </w:r>
      <w:r w:rsidR="00093145" w:rsidRPr="00B1305C">
        <w:t xml:space="preserve">  А.А. Ананьев</w:t>
      </w:r>
    </w:p>
    <w:sectPr w:rsidR="00770A3A" w:rsidRPr="00B1305C" w:rsidSect="00093145">
      <w:pgSz w:w="11906" w:h="16838"/>
      <w:pgMar w:top="113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7F4"/>
    <w:multiLevelType w:val="multilevel"/>
    <w:tmpl w:val="8BE4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D4DA3"/>
    <w:multiLevelType w:val="hybridMultilevel"/>
    <w:tmpl w:val="56FA2C4C"/>
    <w:lvl w:ilvl="0" w:tplc="222C5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B026BE"/>
    <w:multiLevelType w:val="multilevel"/>
    <w:tmpl w:val="1AB84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44E19"/>
    <w:multiLevelType w:val="hybridMultilevel"/>
    <w:tmpl w:val="2E865816"/>
    <w:lvl w:ilvl="0" w:tplc="DDD0F724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808" w:hanging="360"/>
      </w:pPr>
    </w:lvl>
    <w:lvl w:ilvl="2" w:tplc="0419001B" w:tentative="1">
      <w:start w:val="1"/>
      <w:numFmt w:val="lowerRoman"/>
      <w:lvlText w:val="%3."/>
      <w:lvlJc w:val="right"/>
      <w:pPr>
        <w:ind w:left="6528" w:hanging="180"/>
      </w:pPr>
    </w:lvl>
    <w:lvl w:ilvl="3" w:tplc="0419000F" w:tentative="1">
      <w:start w:val="1"/>
      <w:numFmt w:val="decimal"/>
      <w:lvlText w:val="%4."/>
      <w:lvlJc w:val="left"/>
      <w:pPr>
        <w:ind w:left="7248" w:hanging="360"/>
      </w:pPr>
    </w:lvl>
    <w:lvl w:ilvl="4" w:tplc="04190019" w:tentative="1">
      <w:start w:val="1"/>
      <w:numFmt w:val="lowerLetter"/>
      <w:lvlText w:val="%5."/>
      <w:lvlJc w:val="left"/>
      <w:pPr>
        <w:ind w:left="7968" w:hanging="360"/>
      </w:pPr>
    </w:lvl>
    <w:lvl w:ilvl="5" w:tplc="0419001B" w:tentative="1">
      <w:start w:val="1"/>
      <w:numFmt w:val="lowerRoman"/>
      <w:lvlText w:val="%6."/>
      <w:lvlJc w:val="right"/>
      <w:pPr>
        <w:ind w:left="8688" w:hanging="180"/>
      </w:pPr>
    </w:lvl>
    <w:lvl w:ilvl="6" w:tplc="0419000F" w:tentative="1">
      <w:start w:val="1"/>
      <w:numFmt w:val="decimal"/>
      <w:lvlText w:val="%7."/>
      <w:lvlJc w:val="left"/>
      <w:pPr>
        <w:ind w:left="9408" w:hanging="360"/>
      </w:pPr>
    </w:lvl>
    <w:lvl w:ilvl="7" w:tplc="04190019" w:tentative="1">
      <w:start w:val="1"/>
      <w:numFmt w:val="lowerLetter"/>
      <w:lvlText w:val="%8."/>
      <w:lvlJc w:val="left"/>
      <w:pPr>
        <w:ind w:left="10128" w:hanging="360"/>
      </w:pPr>
    </w:lvl>
    <w:lvl w:ilvl="8" w:tplc="0419001B" w:tentative="1">
      <w:start w:val="1"/>
      <w:numFmt w:val="lowerRoman"/>
      <w:lvlText w:val="%9."/>
      <w:lvlJc w:val="right"/>
      <w:pPr>
        <w:ind w:left="10848" w:hanging="180"/>
      </w:pPr>
    </w:lvl>
  </w:abstractNum>
  <w:abstractNum w:abstractNumId="4" w15:restartNumberingAfterBreak="0">
    <w:nsid w:val="74C45CA6"/>
    <w:multiLevelType w:val="multilevel"/>
    <w:tmpl w:val="304A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0244F"/>
    <w:multiLevelType w:val="multilevel"/>
    <w:tmpl w:val="4018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D"/>
    <w:rsid w:val="000409D9"/>
    <w:rsid w:val="00093145"/>
    <w:rsid w:val="000C4002"/>
    <w:rsid w:val="00106BBB"/>
    <w:rsid w:val="00110E97"/>
    <w:rsid w:val="00137B4D"/>
    <w:rsid w:val="001467C6"/>
    <w:rsid w:val="00182C29"/>
    <w:rsid w:val="001B2AD6"/>
    <w:rsid w:val="001C64EF"/>
    <w:rsid w:val="00241B45"/>
    <w:rsid w:val="00272697"/>
    <w:rsid w:val="002C07E5"/>
    <w:rsid w:val="002E704C"/>
    <w:rsid w:val="00384F9E"/>
    <w:rsid w:val="003E553D"/>
    <w:rsid w:val="003F3841"/>
    <w:rsid w:val="00405602"/>
    <w:rsid w:val="004178F3"/>
    <w:rsid w:val="00423342"/>
    <w:rsid w:val="00454A96"/>
    <w:rsid w:val="004857CB"/>
    <w:rsid w:val="004B1113"/>
    <w:rsid w:val="004E51B9"/>
    <w:rsid w:val="00524AB8"/>
    <w:rsid w:val="00526D0E"/>
    <w:rsid w:val="00553930"/>
    <w:rsid w:val="005B0A23"/>
    <w:rsid w:val="005F7CEE"/>
    <w:rsid w:val="0061089D"/>
    <w:rsid w:val="00633944"/>
    <w:rsid w:val="006409EE"/>
    <w:rsid w:val="00650990"/>
    <w:rsid w:val="006A23F5"/>
    <w:rsid w:val="006B0A36"/>
    <w:rsid w:val="006B3333"/>
    <w:rsid w:val="00756D0F"/>
    <w:rsid w:val="00770A3A"/>
    <w:rsid w:val="007A2EC1"/>
    <w:rsid w:val="007F5DDE"/>
    <w:rsid w:val="00842177"/>
    <w:rsid w:val="008B5D83"/>
    <w:rsid w:val="008E7292"/>
    <w:rsid w:val="009025F2"/>
    <w:rsid w:val="0092455D"/>
    <w:rsid w:val="009707CC"/>
    <w:rsid w:val="009B4C3F"/>
    <w:rsid w:val="00A85F20"/>
    <w:rsid w:val="00AB260B"/>
    <w:rsid w:val="00AB591F"/>
    <w:rsid w:val="00AC171D"/>
    <w:rsid w:val="00AF438C"/>
    <w:rsid w:val="00B0743E"/>
    <w:rsid w:val="00B1305C"/>
    <w:rsid w:val="00B47AB9"/>
    <w:rsid w:val="00B50254"/>
    <w:rsid w:val="00B5342F"/>
    <w:rsid w:val="00B93826"/>
    <w:rsid w:val="00BB2033"/>
    <w:rsid w:val="00C00CC9"/>
    <w:rsid w:val="00C033D0"/>
    <w:rsid w:val="00C05407"/>
    <w:rsid w:val="00CC5DA8"/>
    <w:rsid w:val="00D03690"/>
    <w:rsid w:val="00D74B2F"/>
    <w:rsid w:val="00F34CBF"/>
    <w:rsid w:val="00F5138B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26DA-CFCD-440A-BE6A-EF3E7087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E97"/>
    <w:pPr>
      <w:keepNext/>
      <w:jc w:val="center"/>
      <w:outlineLvl w:val="0"/>
    </w:pPr>
    <w:rPr>
      <w:b/>
      <w:bCs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08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1089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036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69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2E70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07E5"/>
  </w:style>
  <w:style w:type="character" w:customStyle="1" w:styleId="10">
    <w:name w:val="Заголовок 1 Знак"/>
    <w:basedOn w:val="a0"/>
    <w:link w:val="1"/>
    <w:rsid w:val="00110E9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ConsPlusNormal">
    <w:name w:val="ConsPlusNormal"/>
    <w:rsid w:val="00110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857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857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85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57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857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025F2"/>
    <w:pPr>
      <w:ind w:left="720"/>
      <w:contextualSpacing/>
    </w:pPr>
  </w:style>
  <w:style w:type="character" w:styleId="ae">
    <w:name w:val="Strong"/>
    <w:qFormat/>
    <w:rsid w:val="006A23F5"/>
    <w:rPr>
      <w:b/>
      <w:bCs/>
      <w:color w:val="auto"/>
    </w:rPr>
  </w:style>
  <w:style w:type="paragraph" w:styleId="af">
    <w:name w:val="No Spacing"/>
    <w:uiPriority w:val="1"/>
    <w:qFormat/>
    <w:rsid w:val="00BB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Григорьев</dc:creator>
  <cp:keywords/>
  <dc:description/>
  <cp:lastModifiedBy>Владислав Григорьев</cp:lastModifiedBy>
  <cp:revision>2</cp:revision>
  <cp:lastPrinted>2018-07-13T12:53:00Z</cp:lastPrinted>
  <dcterms:created xsi:type="dcterms:W3CDTF">2018-07-23T06:33:00Z</dcterms:created>
  <dcterms:modified xsi:type="dcterms:W3CDTF">2018-07-23T06:33:00Z</dcterms:modified>
</cp:coreProperties>
</file>