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794"/>
        <w:gridCol w:w="1984"/>
        <w:gridCol w:w="3544"/>
      </w:tblGrid>
      <w:tr w:rsidR="00153061" w:rsidTr="00EA6990">
        <w:trPr>
          <w:trHeight w:val="4241"/>
        </w:trPr>
        <w:tc>
          <w:tcPr>
            <w:tcW w:w="3794" w:type="dxa"/>
          </w:tcPr>
          <w:p w:rsidR="00153061" w:rsidRDefault="00153061" w:rsidP="00EA6990">
            <w:pPr>
              <w:pStyle w:val="Heading1"/>
            </w:pPr>
          </w:p>
          <w:p w:rsidR="00153061" w:rsidRPr="00B6503D" w:rsidRDefault="00153061" w:rsidP="004A0073">
            <w:pPr>
              <w:pStyle w:val="Heading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503D">
              <w:rPr>
                <w:rFonts w:ascii="Times New Roman" w:hAnsi="Times New Roman"/>
                <w:sz w:val="26"/>
                <w:szCs w:val="26"/>
              </w:rPr>
              <w:t>Чăваш Республики</w:t>
            </w:r>
          </w:p>
          <w:p w:rsidR="00153061" w:rsidRPr="00B6503D" w:rsidRDefault="00153061" w:rsidP="004A0073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Красноармейски районĕ</w:t>
            </w:r>
            <w:r>
              <w:rPr>
                <w:b/>
                <w:sz w:val="26"/>
                <w:szCs w:val="26"/>
              </w:rPr>
              <w:t>н</w:t>
            </w:r>
          </w:p>
          <w:p w:rsidR="00153061" w:rsidRPr="00B6503D" w:rsidRDefault="00153061" w:rsidP="004A0073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Пикшик ял</w:t>
            </w:r>
          </w:p>
          <w:p w:rsidR="00153061" w:rsidRPr="00B6503D" w:rsidRDefault="00153061" w:rsidP="004A0073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поселенийěн пуçлăхĕ</w:t>
            </w:r>
          </w:p>
          <w:p w:rsidR="00153061" w:rsidRPr="00B6503D" w:rsidRDefault="00153061" w:rsidP="004A0073">
            <w:pPr>
              <w:jc w:val="center"/>
              <w:rPr>
                <w:b/>
                <w:sz w:val="26"/>
                <w:szCs w:val="26"/>
              </w:rPr>
            </w:pPr>
          </w:p>
          <w:p w:rsidR="00153061" w:rsidRPr="00B6503D" w:rsidRDefault="00153061" w:rsidP="004A0073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ЙЫШĂНУ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 xml:space="preserve"> </w:t>
            </w:r>
          </w:p>
          <w:p w:rsidR="00153061" w:rsidRPr="00B6503D" w:rsidRDefault="00153061" w:rsidP="00EA6990">
            <w:pPr>
              <w:jc w:val="center"/>
              <w:rPr>
                <w:sz w:val="26"/>
                <w:szCs w:val="26"/>
              </w:rPr>
            </w:pPr>
            <w:r w:rsidRPr="00B6503D">
              <w:rPr>
                <w:sz w:val="26"/>
                <w:szCs w:val="26"/>
              </w:rPr>
              <w:t>Пикшик  ялě</w:t>
            </w:r>
          </w:p>
          <w:p w:rsidR="00153061" w:rsidRPr="00B6503D" w:rsidRDefault="00153061" w:rsidP="00EA6990">
            <w:pPr>
              <w:jc w:val="center"/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686" w:type="dxa"/>
              <w:tblLayout w:type="fixed"/>
              <w:tblLook w:val="0000"/>
            </w:tblPr>
            <w:tblGrid>
              <w:gridCol w:w="1843"/>
              <w:gridCol w:w="425"/>
              <w:gridCol w:w="709"/>
              <w:gridCol w:w="709"/>
            </w:tblGrid>
            <w:tr w:rsidR="00153061" w:rsidRPr="00B6503D" w:rsidTr="00EA6990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ind w:right="-108"/>
                    <w:jc w:val="center"/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2018с. 08. 13</w:t>
                  </w:r>
                  <w:r w:rsidRPr="00B6503D">
                    <w:rPr>
                      <w:b/>
                      <w:bCs/>
                      <w:sz w:val="26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jc w:val="center"/>
                    <w:rPr>
                      <w:b/>
                      <w:bCs/>
                      <w:sz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rPr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rPr>
                      <w:b/>
                      <w:bCs/>
                      <w:sz w:val="26"/>
                    </w:rPr>
                  </w:pPr>
                  <w:r w:rsidRPr="00B6503D">
                    <w:rPr>
                      <w:b/>
                      <w:bCs/>
                      <w:sz w:val="26"/>
                    </w:rPr>
                    <w:t>№</w:t>
                  </w:r>
                </w:p>
              </w:tc>
            </w:tr>
          </w:tbl>
          <w:p w:rsidR="00153061" w:rsidRDefault="00153061" w:rsidP="00EA6990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4" w:type="dxa"/>
          </w:tcPr>
          <w:p w:rsidR="00153061" w:rsidRDefault="00153061" w:rsidP="00EA6990">
            <w:pPr>
              <w:jc w:val="center"/>
            </w:pPr>
            <w:r w:rsidRPr="00814AB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9.5pt" fillcolor="window">
                  <v:imagedata r:id="rId5" o:title=""/>
                </v:shape>
              </w:pict>
            </w:r>
          </w:p>
          <w:p w:rsidR="00153061" w:rsidRDefault="00153061" w:rsidP="00EA6990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:rsidR="00153061" w:rsidRDefault="00153061" w:rsidP="00EA6990">
            <w:pPr>
              <w:jc w:val="center"/>
              <w:rPr>
                <w:rFonts w:ascii="Baltica Chv" w:hAnsi="Baltica Chv"/>
                <w:b/>
              </w:rPr>
            </w:pPr>
          </w:p>
          <w:p w:rsidR="00153061" w:rsidRDefault="00153061" w:rsidP="00EA6990">
            <w:pPr>
              <w:jc w:val="center"/>
              <w:rPr>
                <w:rFonts w:ascii="Baltica Chv" w:hAnsi="Baltica Chv"/>
                <w:b/>
              </w:rPr>
            </w:pPr>
          </w:p>
          <w:p w:rsidR="00153061" w:rsidRDefault="00153061" w:rsidP="00EA6990">
            <w:pPr>
              <w:jc w:val="center"/>
              <w:rPr>
                <w:rFonts w:ascii="Baltica Chv" w:hAnsi="Baltica Chv"/>
                <w:b/>
              </w:rPr>
            </w:pP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Чувашская Республика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Глава Пикшикского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 xml:space="preserve">сельского поселения 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Красноармейского района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  <w:r w:rsidRPr="00B6503D">
              <w:rPr>
                <w:b/>
                <w:sz w:val="26"/>
                <w:szCs w:val="26"/>
              </w:rPr>
              <w:t>ПОСТАНОВЛЕНИЕ</w:t>
            </w:r>
          </w:p>
          <w:p w:rsidR="00153061" w:rsidRPr="00B6503D" w:rsidRDefault="00153061" w:rsidP="00EA6990">
            <w:pPr>
              <w:jc w:val="center"/>
              <w:rPr>
                <w:b/>
                <w:sz w:val="26"/>
                <w:szCs w:val="26"/>
              </w:rPr>
            </w:pPr>
          </w:p>
          <w:p w:rsidR="00153061" w:rsidRPr="00B6503D" w:rsidRDefault="00153061" w:rsidP="00EA6990">
            <w:pPr>
              <w:jc w:val="center"/>
              <w:rPr>
                <w:sz w:val="26"/>
                <w:szCs w:val="26"/>
              </w:rPr>
            </w:pPr>
            <w:r w:rsidRPr="00B6503D">
              <w:rPr>
                <w:sz w:val="26"/>
                <w:szCs w:val="26"/>
              </w:rPr>
              <w:t>д.  Пикшики</w:t>
            </w:r>
          </w:p>
          <w:p w:rsidR="00153061" w:rsidRPr="00B6503D" w:rsidRDefault="00153061" w:rsidP="00EA6990">
            <w:pPr>
              <w:jc w:val="center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4"/>
              <w:tblW w:w="3328" w:type="dxa"/>
              <w:tblLayout w:type="fixed"/>
              <w:tblLook w:val="0000"/>
            </w:tblPr>
            <w:tblGrid>
              <w:gridCol w:w="1985"/>
              <w:gridCol w:w="425"/>
              <w:gridCol w:w="918"/>
            </w:tblGrid>
            <w:tr w:rsidR="00153061" w:rsidRPr="00B6503D" w:rsidTr="00EA6990">
              <w:trPr>
                <w:trHeight w:val="425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241367" w:rsidRDefault="00153061" w:rsidP="00EA6990">
                  <w:pPr>
                    <w:ind w:right="-108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13. 08. 2018г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ind w:right="-391"/>
                    <w:rPr>
                      <w:b/>
                      <w:bCs/>
                      <w:sz w:val="26"/>
                      <w:szCs w:val="26"/>
                    </w:rPr>
                  </w:pPr>
                  <w:r w:rsidRPr="00B6503D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061" w:rsidRPr="00B6503D" w:rsidRDefault="00153061" w:rsidP="00EA6990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38</w:t>
                  </w:r>
                </w:p>
              </w:tc>
            </w:tr>
          </w:tbl>
          <w:p w:rsidR="00153061" w:rsidRDefault="00153061" w:rsidP="00EA6990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:rsidR="00153061" w:rsidRDefault="00153061" w:rsidP="00A87869">
      <w:pPr>
        <w:ind w:right="-2"/>
        <w:rPr>
          <w:b/>
          <w:sz w:val="26"/>
          <w:szCs w:val="26"/>
        </w:rPr>
      </w:pPr>
    </w:p>
    <w:tbl>
      <w:tblPr>
        <w:tblW w:w="0" w:type="auto"/>
        <w:tblInd w:w="-72" w:type="dxa"/>
        <w:tblLook w:val="0000"/>
      </w:tblPr>
      <w:tblGrid>
        <w:gridCol w:w="5400"/>
      </w:tblGrid>
      <w:tr w:rsidR="00153061" w:rsidTr="00A87869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5400" w:type="dxa"/>
          </w:tcPr>
          <w:p w:rsidR="00153061" w:rsidRDefault="00153061" w:rsidP="00A87869">
            <w:pPr>
              <w:ind w:left="180" w:right="-2"/>
              <w:rPr>
                <w:b/>
                <w:sz w:val="26"/>
                <w:szCs w:val="26"/>
              </w:rPr>
            </w:pPr>
          </w:p>
          <w:p w:rsidR="00153061" w:rsidRDefault="00153061" w:rsidP="00A87869">
            <w:pPr>
              <w:ind w:left="180" w:right="-2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733BD">
              <w:rPr>
                <w:b/>
                <w:sz w:val="26"/>
                <w:szCs w:val="26"/>
              </w:rPr>
              <w:t>Об утверждении Положения 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733BD">
              <w:rPr>
                <w:b/>
                <w:sz w:val="26"/>
                <w:szCs w:val="26"/>
              </w:rPr>
              <w:t>порядке сообщения муниципальными</w:t>
            </w:r>
          </w:p>
          <w:p w:rsidR="00153061" w:rsidRDefault="00153061" w:rsidP="00A87869">
            <w:pPr>
              <w:ind w:left="180" w:right="-28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1733BD">
              <w:rPr>
                <w:b/>
                <w:sz w:val="26"/>
                <w:szCs w:val="26"/>
              </w:rPr>
              <w:t>служащими о возникновении личной</w:t>
            </w:r>
          </w:p>
          <w:p w:rsidR="00153061" w:rsidRDefault="00153061" w:rsidP="00A87869">
            <w:pPr>
              <w:ind w:left="180" w:right="-2"/>
              <w:jc w:val="both"/>
              <w:rPr>
                <w:b/>
                <w:sz w:val="26"/>
                <w:szCs w:val="26"/>
              </w:rPr>
            </w:pPr>
            <w:r w:rsidRPr="001733BD">
              <w:rPr>
                <w:b/>
                <w:sz w:val="26"/>
                <w:szCs w:val="26"/>
              </w:rPr>
              <w:t>заинтересованности при исполнении</w:t>
            </w:r>
          </w:p>
          <w:p w:rsidR="00153061" w:rsidRDefault="00153061" w:rsidP="00A87869">
            <w:pPr>
              <w:ind w:left="180" w:right="-2"/>
              <w:jc w:val="both"/>
              <w:rPr>
                <w:b/>
                <w:sz w:val="26"/>
                <w:szCs w:val="26"/>
              </w:rPr>
            </w:pPr>
            <w:r w:rsidRPr="001733BD">
              <w:rPr>
                <w:b/>
                <w:sz w:val="26"/>
                <w:szCs w:val="26"/>
              </w:rPr>
              <w:t>должностных обязанностей, которая</w:t>
            </w:r>
          </w:p>
          <w:p w:rsidR="00153061" w:rsidRDefault="00153061" w:rsidP="00A87869">
            <w:pPr>
              <w:ind w:left="180" w:right="-2"/>
              <w:jc w:val="both"/>
              <w:rPr>
                <w:b/>
                <w:sz w:val="26"/>
                <w:szCs w:val="26"/>
              </w:rPr>
            </w:pPr>
            <w:r w:rsidRPr="001733BD">
              <w:rPr>
                <w:b/>
                <w:sz w:val="26"/>
                <w:szCs w:val="26"/>
              </w:rPr>
              <w:t>приводит или может привести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733BD">
              <w:rPr>
                <w:b/>
                <w:sz w:val="26"/>
                <w:szCs w:val="26"/>
              </w:rPr>
              <w:t>к конфликту интересов</w:t>
            </w:r>
          </w:p>
        </w:tc>
      </w:tr>
    </w:tbl>
    <w:p w:rsidR="00153061" w:rsidRDefault="00153061" w:rsidP="005F60B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3061" w:rsidRPr="001733BD" w:rsidRDefault="00153061" w:rsidP="00A87869">
      <w:pPr>
        <w:ind w:firstLine="709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В соответствии с пунктом 8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Pr="001733BD">
          <w:rPr>
            <w:sz w:val="26"/>
            <w:szCs w:val="26"/>
          </w:rPr>
          <w:t>2015 г</w:t>
        </w:r>
      </w:smartTag>
      <w:r w:rsidRPr="001733BD">
        <w:rPr>
          <w:sz w:val="26"/>
          <w:szCs w:val="26"/>
        </w:rPr>
        <w:t xml:space="preserve">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smartTag w:uri="urn:schemas-microsoft-com:office:smarttags" w:element="PersonName">
        <w:smartTagPr>
          <w:attr w:name="ProductID" w:val="администрация Пикшикского сельского поселения"/>
        </w:smartTagPr>
        <w:r w:rsidRPr="001733BD">
          <w:rPr>
            <w:sz w:val="26"/>
            <w:szCs w:val="26"/>
          </w:rPr>
          <w:t>администрация</w:t>
        </w:r>
        <w:r>
          <w:rPr>
            <w:sz w:val="26"/>
            <w:szCs w:val="26"/>
          </w:rPr>
          <w:t xml:space="preserve"> Пикшикского сельского поселения</w:t>
        </w:r>
      </w:smartTag>
      <w:r w:rsidRPr="001733BD">
        <w:rPr>
          <w:sz w:val="26"/>
          <w:szCs w:val="26"/>
        </w:rPr>
        <w:t xml:space="preserve"> Красноармейского района</w:t>
      </w:r>
      <w:r>
        <w:rPr>
          <w:sz w:val="26"/>
          <w:szCs w:val="26"/>
        </w:rPr>
        <w:t xml:space="preserve"> Чувашской Республики</w:t>
      </w:r>
      <w:r w:rsidRPr="001733BD">
        <w:rPr>
          <w:sz w:val="26"/>
          <w:szCs w:val="26"/>
        </w:rPr>
        <w:t xml:space="preserve"> п о с т а н о в л я е т: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</w:t>
      </w:r>
      <w:r w:rsidRPr="001733BD">
        <w:rPr>
          <w:sz w:val="26"/>
          <w:szCs w:val="26"/>
        </w:rPr>
        <w:tab/>
        <w:t>1. Утвердить Положение о порядке сообщения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 .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ab/>
        <w:t>2.Признать утра</w:t>
      </w:r>
      <w:r>
        <w:rPr>
          <w:sz w:val="26"/>
          <w:szCs w:val="26"/>
        </w:rPr>
        <w:t>тившим силу  постановление от 11.03.2016 №11</w:t>
      </w:r>
      <w:r w:rsidRPr="001733BD">
        <w:rPr>
          <w:sz w:val="26"/>
          <w:szCs w:val="26"/>
        </w:rPr>
        <w:t xml:space="preserve"> «Об утверждении Положения о порядке сообщения муниципальными служащими и руководителями муниципальных  учреждений о возникновении личной  заинтересованности при исполнении должностных обязанностей, которая приводит или может привести к конфликту интересов».</w:t>
      </w:r>
    </w:p>
    <w:p w:rsidR="00153061" w:rsidRPr="00046980" w:rsidRDefault="00153061" w:rsidP="00A87869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3</w:t>
      </w:r>
      <w:r w:rsidRPr="00A87869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вступает в силу после его официального опубликования в периодическом печатном издании «Пикшикский вестник».</w:t>
      </w:r>
      <w:r w:rsidRPr="0004698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53061" w:rsidRPr="00046980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3061" w:rsidRPr="00046980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3061" w:rsidRPr="00046980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3061" w:rsidRPr="00046980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3061" w:rsidRPr="00A87869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7869"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</w:p>
    <w:p w:rsidR="00153061" w:rsidRPr="00A87869" w:rsidRDefault="00153061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7869">
        <w:rPr>
          <w:rFonts w:ascii="Times New Roman" w:hAnsi="Times New Roman" w:cs="Times New Roman"/>
          <w:b w:val="0"/>
          <w:sz w:val="26"/>
          <w:szCs w:val="26"/>
        </w:rPr>
        <w:t>Пикшикского сельского поселения                                           В.Ю. Фомин</w:t>
      </w:r>
    </w:p>
    <w:p w:rsidR="00153061" w:rsidRPr="00046980" w:rsidRDefault="00153061" w:rsidP="00A87869">
      <w:pPr>
        <w:pStyle w:val="ConsPlusTitle"/>
        <w:ind w:left="360"/>
        <w:jc w:val="both"/>
      </w:pPr>
      <w:r w:rsidRPr="00046980">
        <w:t xml:space="preserve"> </w:t>
      </w:r>
    </w:p>
    <w:p w:rsidR="00153061" w:rsidRPr="001733BD" w:rsidRDefault="00153061" w:rsidP="00A87869">
      <w:pPr>
        <w:ind w:left="6372" w:right="-2" w:firstLine="7"/>
        <w:rPr>
          <w:sz w:val="26"/>
          <w:szCs w:val="26"/>
        </w:rPr>
      </w:pPr>
      <w:r w:rsidRPr="001733BD">
        <w:rPr>
          <w:sz w:val="26"/>
          <w:szCs w:val="26"/>
        </w:rPr>
        <w:t xml:space="preserve">Приложение </w:t>
      </w:r>
    </w:p>
    <w:p w:rsidR="00153061" w:rsidRPr="001733BD" w:rsidRDefault="00153061" w:rsidP="00A87869">
      <w:pPr>
        <w:ind w:left="6379" w:right="-2" w:hanging="142"/>
        <w:rPr>
          <w:sz w:val="26"/>
          <w:szCs w:val="26"/>
        </w:rPr>
      </w:pPr>
      <w:r>
        <w:rPr>
          <w:sz w:val="26"/>
          <w:szCs w:val="26"/>
        </w:rPr>
        <w:t xml:space="preserve">  к </w:t>
      </w:r>
      <w:r w:rsidRPr="001733BD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 xml:space="preserve">администрации Пикшикского </w:t>
      </w:r>
      <w:r w:rsidRPr="001733B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поселения от 13.08.2018 №  </w:t>
      </w:r>
      <w:r w:rsidRPr="001733BD">
        <w:rPr>
          <w:sz w:val="26"/>
          <w:szCs w:val="26"/>
        </w:rPr>
        <w:t>38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                                                       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center"/>
        <w:rPr>
          <w:sz w:val="26"/>
          <w:szCs w:val="26"/>
        </w:rPr>
      </w:pPr>
      <w:r w:rsidRPr="001733BD">
        <w:rPr>
          <w:sz w:val="26"/>
          <w:szCs w:val="26"/>
        </w:rPr>
        <w:t>Положение</w:t>
      </w:r>
    </w:p>
    <w:p w:rsidR="00153061" w:rsidRPr="001733BD" w:rsidRDefault="00153061" w:rsidP="00A87869">
      <w:pPr>
        <w:ind w:right="-2"/>
        <w:jc w:val="center"/>
        <w:rPr>
          <w:sz w:val="26"/>
          <w:szCs w:val="26"/>
        </w:rPr>
      </w:pPr>
      <w:r w:rsidRPr="001733BD">
        <w:rPr>
          <w:sz w:val="26"/>
          <w:szCs w:val="26"/>
        </w:rPr>
        <w:t>о порядке сообщения муниципальными служащими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1. Настоящим Положением определяется порядок сообщения муниципальными служащими  администрации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(далее-муниципальные служащие)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2. Муниципальные служащие 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3. Муниципальный служащий  направляют главе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Красноармейского района уведомление, составленное по форме согласно приложению № 1.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4. В ходе предварительного рассмотрения уведомлений глава 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Красноармейского района либо уполномоченное им должностное лицо 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Чувашской Республики, иные государственные органы, органы местного самоуправления и заинтересованные организации.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5. По результатам рассмотрения уведомлений главой 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Красноармейского района либо уполномоченным им должностным лицом подготавливается мотивированное заключение на каждое из них.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Уведомления рассматриваются в течение 30 дней со дня их поступления уполномоченным на их рассмотрение должностным лицам. Указанный срок может быть продлен главой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Красноармейского района, но не более чем на 10 дней.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6. По результатам рассмотрения уведомлений главой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Красноармейского района  принимается одно из следующих решений: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7. В случае принятия решения, предусмотренного подпунктом "б" пункта 6 настоящего Положения, в соответствии с законодательством Российской Федерации глава 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незамедлительно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8. В случае принятия решения, предусмотренного подпунктом "в" пункта 6 настоящего Положения глава 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в течение 3-х   календарных дней со дня его принятия информирует об установленном факте  не соблюдения требования об урегулировании конфликта интересов комиссию по соблюдению требований  к служебному  поведению муниципальных служащих и урегулированию конфликта интересов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и прокуратуру Красноармейского района.</w:t>
      </w:r>
    </w:p>
    <w:p w:rsidR="00153061" w:rsidRPr="001733BD" w:rsidRDefault="00153061" w:rsidP="00A87869">
      <w:pPr>
        <w:ind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9. О принятом по уведомлению решении глава 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информирует обратившееся к нему должностное лицо, в течение 3-х   календарных дней со дня его принятия.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Default="00153061" w:rsidP="00A87869">
      <w:pPr>
        <w:ind w:left="4956"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Приложение № 1</w:t>
      </w: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к Положению о порядке сообщения</w:t>
      </w: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муниципальными служащими о возникновении личной заинтересованности при исполнении</w:t>
      </w: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должностных обязанностей, которая</w:t>
      </w: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приводит или может привести</w:t>
      </w: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к конфликту интересов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left="4956"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1733BD">
        <w:rPr>
          <w:sz w:val="26"/>
          <w:szCs w:val="26"/>
        </w:rPr>
        <w:t>Красноармейского района</w:t>
      </w:r>
    </w:p>
    <w:p w:rsidR="00153061" w:rsidRPr="001733BD" w:rsidRDefault="00153061" w:rsidP="00A87869">
      <w:pPr>
        <w:ind w:left="4248" w:right="-2" w:firstLine="708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от 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33BD">
        <w:rPr>
          <w:sz w:val="26"/>
          <w:szCs w:val="26"/>
        </w:rPr>
        <w:t>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33BD">
        <w:rPr>
          <w:sz w:val="26"/>
          <w:szCs w:val="26"/>
        </w:rPr>
        <w:t>(Ф.И.О., замещаемая должность)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                        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center"/>
        <w:rPr>
          <w:sz w:val="26"/>
          <w:szCs w:val="26"/>
        </w:rPr>
      </w:pPr>
      <w:r w:rsidRPr="001733BD">
        <w:rPr>
          <w:sz w:val="26"/>
          <w:szCs w:val="26"/>
        </w:rPr>
        <w:t>УВЕДОМЛЕНИЕ</w:t>
      </w:r>
    </w:p>
    <w:p w:rsidR="00153061" w:rsidRPr="001733BD" w:rsidRDefault="00153061" w:rsidP="00A87869">
      <w:pPr>
        <w:ind w:right="-2"/>
        <w:jc w:val="center"/>
        <w:rPr>
          <w:sz w:val="26"/>
          <w:szCs w:val="26"/>
        </w:rPr>
      </w:pPr>
      <w:r w:rsidRPr="001733BD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</w:t>
      </w:r>
      <w:r w:rsidRPr="001733BD">
        <w:rPr>
          <w:sz w:val="26"/>
          <w:szCs w:val="26"/>
        </w:rPr>
        <w:tab/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(нужное подчеркнуть).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</w:t>
      </w:r>
      <w:r w:rsidRPr="001733BD">
        <w:rPr>
          <w:sz w:val="26"/>
          <w:szCs w:val="26"/>
        </w:rPr>
        <w:tab/>
        <w:t>Обстоятельства, являющиеся основанием возникновения личной заинтересованности: ___________________________________________________________________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_____________________________________________________________________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</w:t>
      </w:r>
      <w:r w:rsidRPr="001733BD">
        <w:rPr>
          <w:sz w:val="26"/>
          <w:szCs w:val="26"/>
        </w:rPr>
        <w:tab/>
        <w:t>Должностные обязанности, на  исполнение  которых  влияет  или  может повлиять личная заинтересованность: 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____________________________________________________________________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</w:t>
      </w:r>
      <w:r w:rsidRPr="001733BD">
        <w:rPr>
          <w:sz w:val="26"/>
          <w:szCs w:val="26"/>
        </w:rPr>
        <w:tab/>
        <w:t xml:space="preserve"> Предлагаемые меры по предотвращению или  урегулированию  конфликта интересов: ____________________________________________________________________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>____________________________________________________________________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  <w:r w:rsidRPr="001733BD">
        <w:rPr>
          <w:sz w:val="26"/>
          <w:szCs w:val="26"/>
        </w:rPr>
        <w:t xml:space="preserve">     </w:t>
      </w:r>
      <w:r w:rsidRPr="001733BD">
        <w:rPr>
          <w:sz w:val="26"/>
          <w:szCs w:val="26"/>
        </w:rPr>
        <w:tab/>
        <w:t xml:space="preserve"> Намереваюсь (не намереваюсь)  лично  присутствовать   на   заседании комиссии по соблюдению требований  к служебному  поведению муниципальных служащих и урегулированию конфликта интересов </w:t>
      </w:r>
      <w:r>
        <w:rPr>
          <w:sz w:val="26"/>
          <w:szCs w:val="26"/>
        </w:rPr>
        <w:t>Пикшикского</w:t>
      </w:r>
      <w:r w:rsidRPr="001733BD">
        <w:rPr>
          <w:sz w:val="26"/>
          <w:szCs w:val="26"/>
        </w:rPr>
        <w:t xml:space="preserve"> сельского поселения  Красноармейского района Чувашской Республики при рассмотрении настоящего уведомления (нужное подчеркнуть).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1733BD" w:rsidRDefault="00153061" w:rsidP="00A87869">
      <w:pPr>
        <w:ind w:right="-2"/>
        <w:rPr>
          <w:sz w:val="26"/>
          <w:szCs w:val="26"/>
        </w:rPr>
      </w:pPr>
      <w:r>
        <w:rPr>
          <w:sz w:val="26"/>
          <w:szCs w:val="26"/>
        </w:rPr>
        <w:t>"__"__________ 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33BD">
        <w:rPr>
          <w:sz w:val="26"/>
          <w:szCs w:val="26"/>
        </w:rPr>
        <w:t xml:space="preserve"> __________________________                 </w:t>
      </w:r>
    </w:p>
    <w:p w:rsidR="00153061" w:rsidRPr="001733BD" w:rsidRDefault="00153061" w:rsidP="00A87869">
      <w:pPr>
        <w:ind w:left="3402" w:right="-2" w:hanging="425"/>
        <w:jc w:val="both"/>
        <w:rPr>
          <w:sz w:val="22"/>
          <w:szCs w:val="22"/>
        </w:rPr>
      </w:pPr>
      <w:r w:rsidRPr="001733BD">
        <w:rPr>
          <w:sz w:val="26"/>
          <w:szCs w:val="26"/>
        </w:rPr>
        <w:t>(</w:t>
      </w:r>
      <w:r w:rsidRPr="001733BD">
        <w:rPr>
          <w:sz w:val="22"/>
          <w:szCs w:val="22"/>
        </w:rPr>
        <w:t>подпись лица,</w:t>
      </w:r>
      <w:r>
        <w:rPr>
          <w:sz w:val="22"/>
          <w:szCs w:val="22"/>
        </w:rPr>
        <w:t xml:space="preserve"> </w:t>
      </w:r>
      <w:r w:rsidRPr="001733BD">
        <w:rPr>
          <w:sz w:val="22"/>
          <w:szCs w:val="22"/>
        </w:rPr>
        <w:t>(расшифровка подписи)                                              направляющего уведомление)</w:t>
      </w:r>
    </w:p>
    <w:p w:rsidR="00153061" w:rsidRPr="001733BD" w:rsidRDefault="00153061" w:rsidP="00A87869">
      <w:pPr>
        <w:ind w:right="-2"/>
        <w:jc w:val="both"/>
        <w:rPr>
          <w:sz w:val="26"/>
          <w:szCs w:val="26"/>
        </w:rPr>
      </w:pPr>
    </w:p>
    <w:p w:rsidR="00153061" w:rsidRPr="00046980" w:rsidRDefault="00153061" w:rsidP="00A87869">
      <w:pPr>
        <w:pStyle w:val="Heading3"/>
        <w:jc w:val="right"/>
      </w:pPr>
    </w:p>
    <w:sectPr w:rsidR="00153061" w:rsidRPr="00046980" w:rsidSect="0004698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4C3263D6"/>
    <w:multiLevelType w:val="hybridMultilevel"/>
    <w:tmpl w:val="B96E4BEC"/>
    <w:lvl w:ilvl="0" w:tplc="86FCF050">
      <w:start w:val="1"/>
      <w:numFmt w:val="decimal"/>
      <w:lvlText w:val="%1."/>
      <w:lvlJc w:val="left"/>
      <w:pPr>
        <w:ind w:left="13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3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4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427"/>
    <w:rsid w:val="00046980"/>
    <w:rsid w:val="0006525B"/>
    <w:rsid w:val="00153061"/>
    <w:rsid w:val="001605F8"/>
    <w:rsid w:val="001733BD"/>
    <w:rsid w:val="00231AD7"/>
    <w:rsid w:val="00241367"/>
    <w:rsid w:val="002B4ADA"/>
    <w:rsid w:val="00371865"/>
    <w:rsid w:val="0040536D"/>
    <w:rsid w:val="004A0073"/>
    <w:rsid w:val="005044CA"/>
    <w:rsid w:val="0052584E"/>
    <w:rsid w:val="00527F94"/>
    <w:rsid w:val="005449D6"/>
    <w:rsid w:val="00553436"/>
    <w:rsid w:val="005654AD"/>
    <w:rsid w:val="00590E27"/>
    <w:rsid w:val="005B2EA8"/>
    <w:rsid w:val="005F3522"/>
    <w:rsid w:val="005F60BC"/>
    <w:rsid w:val="006039B2"/>
    <w:rsid w:val="006666B3"/>
    <w:rsid w:val="00677A27"/>
    <w:rsid w:val="006869AE"/>
    <w:rsid w:val="007E2241"/>
    <w:rsid w:val="00814AB8"/>
    <w:rsid w:val="00822961"/>
    <w:rsid w:val="0087573F"/>
    <w:rsid w:val="008E30C9"/>
    <w:rsid w:val="00914438"/>
    <w:rsid w:val="009379EF"/>
    <w:rsid w:val="00A43787"/>
    <w:rsid w:val="00A87869"/>
    <w:rsid w:val="00AE2A32"/>
    <w:rsid w:val="00B454EA"/>
    <w:rsid w:val="00B6503D"/>
    <w:rsid w:val="00BA0548"/>
    <w:rsid w:val="00C538BA"/>
    <w:rsid w:val="00D43427"/>
    <w:rsid w:val="00D53CC9"/>
    <w:rsid w:val="00D62D52"/>
    <w:rsid w:val="00D64663"/>
    <w:rsid w:val="00E160C8"/>
    <w:rsid w:val="00E716DF"/>
    <w:rsid w:val="00E92192"/>
    <w:rsid w:val="00EA0FBC"/>
    <w:rsid w:val="00EA46EC"/>
    <w:rsid w:val="00EA6990"/>
    <w:rsid w:val="00EE7AA4"/>
    <w:rsid w:val="00EF6F8A"/>
    <w:rsid w:val="00F5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A0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F8A"/>
    <w:pPr>
      <w:keepNext/>
      <w:jc w:val="center"/>
      <w:outlineLvl w:val="2"/>
    </w:pPr>
    <w:rPr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F8A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F6F8A"/>
    <w:pPr>
      <w:widowControl w:val="0"/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6F8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60B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5044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75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73F"/>
    <w:rPr>
      <w:rFonts w:ascii="Tahoma" w:hAnsi="Tahoma" w:cs="Tahoma"/>
      <w:sz w:val="16"/>
      <w:szCs w:val="16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EE7AA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EE7AA4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1185</Words>
  <Characters>6755</Characters>
  <Application>Microsoft Office Outlook</Application>
  <DocSecurity>0</DocSecurity>
  <Lines>0</Lines>
  <Paragraphs>0</Paragraphs>
  <ScaleCrop>false</ScaleCrop>
  <Company>slider999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sao-pikshik</cp:lastModifiedBy>
  <cp:revision>4</cp:revision>
  <cp:lastPrinted>2018-08-16T10:28:00Z</cp:lastPrinted>
  <dcterms:created xsi:type="dcterms:W3CDTF">2018-08-16T10:05:00Z</dcterms:created>
  <dcterms:modified xsi:type="dcterms:W3CDTF">2018-08-20T11:03:00Z</dcterms:modified>
</cp:coreProperties>
</file>