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90" w:rsidRPr="00593174" w:rsidRDefault="00DE7F90" w:rsidP="00DE7F90">
      <w:pPr>
        <w:tabs>
          <w:tab w:val="left" w:pos="5529"/>
        </w:tabs>
        <w:ind w:left="5529" w:right="-6"/>
        <w:rPr>
          <w:sz w:val="24"/>
          <w:szCs w:val="24"/>
        </w:rPr>
      </w:pPr>
      <w:r w:rsidRPr="00593174">
        <w:rPr>
          <w:b/>
          <w:sz w:val="24"/>
          <w:szCs w:val="24"/>
        </w:rPr>
        <w:t xml:space="preserve">У Т В Е </w:t>
      </w:r>
      <w:proofErr w:type="gramStart"/>
      <w:r w:rsidRPr="00593174">
        <w:rPr>
          <w:b/>
          <w:sz w:val="24"/>
          <w:szCs w:val="24"/>
        </w:rPr>
        <w:t>Р</w:t>
      </w:r>
      <w:proofErr w:type="gramEnd"/>
      <w:r w:rsidRPr="00593174">
        <w:rPr>
          <w:b/>
          <w:sz w:val="24"/>
          <w:szCs w:val="24"/>
        </w:rPr>
        <w:t xml:space="preserve"> Ж Д А Ю</w:t>
      </w:r>
    </w:p>
    <w:p w:rsidR="00DE7F90" w:rsidRPr="00593174" w:rsidRDefault="00DE7F90" w:rsidP="00DE7F90">
      <w:pPr>
        <w:tabs>
          <w:tab w:val="left" w:pos="5529"/>
        </w:tabs>
        <w:ind w:left="5529" w:right="-6"/>
        <w:jc w:val="both"/>
        <w:rPr>
          <w:sz w:val="24"/>
          <w:szCs w:val="24"/>
        </w:rPr>
      </w:pPr>
      <w:r w:rsidRPr="00593174">
        <w:rPr>
          <w:sz w:val="24"/>
          <w:szCs w:val="24"/>
        </w:rPr>
        <w:t>Заместитель главы администрации –</w:t>
      </w:r>
    </w:p>
    <w:p w:rsidR="00DE7F90" w:rsidRPr="00593174" w:rsidRDefault="00DE7F90" w:rsidP="00DE7F90">
      <w:pPr>
        <w:tabs>
          <w:tab w:val="left" w:pos="5529"/>
        </w:tabs>
        <w:ind w:left="5529" w:right="-6"/>
        <w:jc w:val="both"/>
        <w:rPr>
          <w:sz w:val="24"/>
          <w:szCs w:val="24"/>
        </w:rPr>
      </w:pPr>
      <w:r w:rsidRPr="00593174">
        <w:rPr>
          <w:sz w:val="24"/>
          <w:szCs w:val="24"/>
        </w:rPr>
        <w:t>Председатель Горкомимущества</w:t>
      </w:r>
    </w:p>
    <w:p w:rsidR="00DE7F90" w:rsidRPr="00593174" w:rsidRDefault="00DE7F90" w:rsidP="00DE7F90">
      <w:pPr>
        <w:tabs>
          <w:tab w:val="left" w:pos="5529"/>
        </w:tabs>
        <w:ind w:left="5529" w:right="-6"/>
        <w:jc w:val="both"/>
        <w:rPr>
          <w:sz w:val="16"/>
          <w:szCs w:val="16"/>
        </w:rPr>
      </w:pPr>
    </w:p>
    <w:p w:rsidR="00DE7F90" w:rsidRPr="00593174" w:rsidRDefault="00DE7F90" w:rsidP="00DE7F90">
      <w:pPr>
        <w:tabs>
          <w:tab w:val="left" w:pos="5529"/>
        </w:tabs>
        <w:ind w:left="5529" w:right="-6"/>
        <w:jc w:val="both"/>
        <w:rPr>
          <w:sz w:val="24"/>
          <w:szCs w:val="24"/>
        </w:rPr>
      </w:pPr>
      <w:r w:rsidRPr="00593174">
        <w:rPr>
          <w:sz w:val="24"/>
          <w:szCs w:val="24"/>
        </w:rPr>
        <w:t>__________________Ю.А. Васильев</w:t>
      </w:r>
    </w:p>
    <w:p w:rsidR="00DE7F90" w:rsidRPr="00C50F96" w:rsidRDefault="00DE7F90" w:rsidP="00DE7F90">
      <w:pPr>
        <w:ind w:left="5529" w:right="-6"/>
        <w:jc w:val="both"/>
        <w:rPr>
          <w:sz w:val="24"/>
          <w:szCs w:val="24"/>
        </w:rPr>
      </w:pPr>
      <w:r>
        <w:rPr>
          <w:sz w:val="24"/>
          <w:szCs w:val="24"/>
        </w:rPr>
        <w:t>21</w:t>
      </w:r>
      <w:r w:rsidRPr="00C50F96">
        <w:rPr>
          <w:sz w:val="24"/>
          <w:szCs w:val="24"/>
        </w:rPr>
        <w:t xml:space="preserve"> </w:t>
      </w:r>
      <w:r>
        <w:rPr>
          <w:sz w:val="24"/>
          <w:szCs w:val="24"/>
        </w:rPr>
        <w:t>февраля</w:t>
      </w:r>
      <w:r w:rsidRPr="00C50F96">
        <w:rPr>
          <w:sz w:val="24"/>
          <w:szCs w:val="24"/>
        </w:rPr>
        <w:t xml:space="preserve"> 20</w:t>
      </w:r>
      <w:r>
        <w:rPr>
          <w:sz w:val="24"/>
          <w:szCs w:val="24"/>
        </w:rPr>
        <w:t>20</w:t>
      </w:r>
      <w:r w:rsidRPr="00C50F96">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DE7F90">
        <w:rPr>
          <w:b/>
          <w:sz w:val="23"/>
          <w:szCs w:val="23"/>
          <w:u w:val="single"/>
        </w:rPr>
        <w:t>19</w:t>
      </w:r>
      <w:r w:rsidRPr="008F4E43">
        <w:rPr>
          <w:b/>
          <w:sz w:val="23"/>
          <w:szCs w:val="23"/>
          <w:u w:val="single"/>
        </w:rPr>
        <w:t xml:space="preserve"> </w:t>
      </w:r>
      <w:r w:rsidR="00DE7F90">
        <w:rPr>
          <w:b/>
          <w:sz w:val="23"/>
          <w:szCs w:val="23"/>
          <w:u w:val="single"/>
        </w:rPr>
        <w:t>феврал</w:t>
      </w:r>
      <w:r w:rsidR="00734DE7">
        <w:rPr>
          <w:b/>
          <w:sz w:val="23"/>
          <w:szCs w:val="23"/>
          <w:u w:val="single"/>
        </w:rPr>
        <w:t>ь</w:t>
      </w:r>
      <w:r w:rsidRPr="008F4E43">
        <w:rPr>
          <w:b/>
          <w:sz w:val="23"/>
          <w:szCs w:val="23"/>
          <w:u w:val="single"/>
        </w:rPr>
        <w:t xml:space="preserve"> </w:t>
      </w:r>
      <w:r w:rsidR="008E71BD" w:rsidRPr="008F4E43">
        <w:rPr>
          <w:b/>
          <w:sz w:val="23"/>
          <w:szCs w:val="23"/>
          <w:u w:val="single"/>
        </w:rPr>
        <w:t>20</w:t>
      </w:r>
      <w:r w:rsidR="001F1780">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347C8A">
        <w:rPr>
          <w:sz w:val="23"/>
          <w:szCs w:val="23"/>
        </w:rPr>
        <w:t>2</w:t>
      </w:r>
      <w:r w:rsidR="001F1780">
        <w:rPr>
          <w:sz w:val="23"/>
          <w:szCs w:val="23"/>
        </w:rPr>
        <w:t>2</w:t>
      </w:r>
      <w:r w:rsidR="008720F7">
        <w:rPr>
          <w:sz w:val="23"/>
          <w:szCs w:val="23"/>
        </w:rPr>
        <w:t>.</w:t>
      </w:r>
      <w:r w:rsidR="001F1780">
        <w:rPr>
          <w:sz w:val="23"/>
          <w:szCs w:val="23"/>
        </w:rPr>
        <w:t>0</w:t>
      </w:r>
      <w:r w:rsidR="007C6A97">
        <w:rPr>
          <w:sz w:val="23"/>
          <w:szCs w:val="23"/>
        </w:rPr>
        <w:t>1</w:t>
      </w:r>
      <w:r w:rsidR="008720F7">
        <w:rPr>
          <w:sz w:val="23"/>
          <w:szCs w:val="23"/>
        </w:rPr>
        <w:t>.20</w:t>
      </w:r>
      <w:r w:rsidR="001F1780">
        <w:rPr>
          <w:sz w:val="23"/>
          <w:szCs w:val="23"/>
        </w:rPr>
        <w:t>20</w:t>
      </w:r>
      <w:r w:rsidR="008720F7">
        <w:rPr>
          <w:sz w:val="23"/>
          <w:szCs w:val="23"/>
        </w:rPr>
        <w:t xml:space="preserve"> </w:t>
      </w:r>
      <w:r w:rsidR="001F1780">
        <w:rPr>
          <w:sz w:val="23"/>
          <w:szCs w:val="23"/>
        </w:rPr>
        <w:t xml:space="preserve">     </w:t>
      </w:r>
      <w:r w:rsidR="008720F7">
        <w:rPr>
          <w:sz w:val="23"/>
          <w:szCs w:val="23"/>
        </w:rPr>
        <w:t>№</w:t>
      </w:r>
      <w:r w:rsidR="00A42388">
        <w:rPr>
          <w:sz w:val="23"/>
          <w:szCs w:val="23"/>
        </w:rPr>
        <w:t xml:space="preserve"> </w:t>
      </w:r>
      <w:r w:rsidR="001F1780">
        <w:rPr>
          <w:sz w:val="23"/>
          <w:szCs w:val="23"/>
        </w:rPr>
        <w:t>1</w:t>
      </w:r>
      <w:r w:rsidR="00347C8A">
        <w:rPr>
          <w:sz w:val="23"/>
          <w:szCs w:val="23"/>
        </w:rPr>
        <w:t>4</w:t>
      </w:r>
      <w:r w:rsidR="001F1780">
        <w:rPr>
          <w:sz w:val="23"/>
          <w:szCs w:val="23"/>
        </w:rPr>
        <w:t>2.</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7"/>
        <w:gridCol w:w="1548"/>
        <w:gridCol w:w="1548"/>
        <w:gridCol w:w="1548"/>
        <w:gridCol w:w="2350"/>
      </w:tblGrid>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lastRenderedPageBreak/>
              <w:t>№</w:t>
            </w:r>
          </w:p>
          <w:p w:rsidR="001F1780" w:rsidRPr="00501E9D" w:rsidRDefault="001F1780" w:rsidP="006A1D1E">
            <w:pPr>
              <w:jc w:val="center"/>
              <w:rPr>
                <w:sz w:val="24"/>
                <w:szCs w:val="24"/>
              </w:rPr>
            </w:pPr>
            <w:proofErr w:type="gramStart"/>
            <w:r w:rsidRPr="00501E9D">
              <w:rPr>
                <w:sz w:val="24"/>
                <w:szCs w:val="24"/>
              </w:rPr>
              <w:t>п</w:t>
            </w:r>
            <w:proofErr w:type="gramEnd"/>
            <w:r w:rsidRPr="00501E9D">
              <w:rPr>
                <w:sz w:val="24"/>
                <w:szCs w:val="24"/>
              </w:rPr>
              <w:t>/п</w:t>
            </w:r>
          </w:p>
        </w:tc>
        <w:tc>
          <w:tcPr>
            <w:tcW w:w="1547" w:type="dxa"/>
            <w:shd w:val="clear" w:color="auto" w:fill="auto"/>
            <w:vAlign w:val="center"/>
          </w:tcPr>
          <w:p w:rsidR="001F1780" w:rsidRPr="00501E9D" w:rsidRDefault="001F1780" w:rsidP="006A1D1E">
            <w:pPr>
              <w:jc w:val="center"/>
              <w:rPr>
                <w:sz w:val="24"/>
                <w:szCs w:val="24"/>
              </w:rPr>
            </w:pPr>
            <w:r w:rsidRPr="00501E9D">
              <w:rPr>
                <w:sz w:val="24"/>
                <w:szCs w:val="24"/>
              </w:rPr>
              <w:t>Древесный вид</w:t>
            </w:r>
          </w:p>
        </w:tc>
        <w:tc>
          <w:tcPr>
            <w:tcW w:w="1548" w:type="dxa"/>
            <w:shd w:val="clear" w:color="auto" w:fill="auto"/>
            <w:vAlign w:val="center"/>
          </w:tcPr>
          <w:p w:rsidR="001F1780" w:rsidRPr="00501E9D" w:rsidRDefault="001F1780" w:rsidP="006A1D1E">
            <w:pPr>
              <w:jc w:val="center"/>
              <w:rPr>
                <w:sz w:val="24"/>
                <w:szCs w:val="24"/>
              </w:rPr>
            </w:pPr>
            <w:r w:rsidRPr="00501E9D">
              <w:rPr>
                <w:sz w:val="24"/>
                <w:szCs w:val="24"/>
              </w:rPr>
              <w:t>Диаметр</w:t>
            </w:r>
          </w:p>
          <w:p w:rsidR="001F1780" w:rsidRPr="00501E9D" w:rsidRDefault="001F1780" w:rsidP="006A1D1E">
            <w:pPr>
              <w:jc w:val="center"/>
              <w:rPr>
                <w:sz w:val="24"/>
                <w:szCs w:val="24"/>
              </w:rPr>
            </w:pPr>
            <w:r w:rsidRPr="00501E9D">
              <w:rPr>
                <w:sz w:val="24"/>
                <w:szCs w:val="24"/>
              </w:rPr>
              <w:t>(</w:t>
            </w:r>
            <w:proofErr w:type="gramStart"/>
            <w:r w:rsidRPr="00501E9D">
              <w:rPr>
                <w:sz w:val="24"/>
                <w:szCs w:val="24"/>
              </w:rPr>
              <w:t>см</w:t>
            </w:r>
            <w:proofErr w:type="gramEnd"/>
            <w:r w:rsidRPr="00501E9D">
              <w:rPr>
                <w:sz w:val="24"/>
                <w:szCs w:val="24"/>
              </w:rPr>
              <w:t>.)</w:t>
            </w:r>
          </w:p>
        </w:tc>
        <w:tc>
          <w:tcPr>
            <w:tcW w:w="1548" w:type="dxa"/>
            <w:shd w:val="clear" w:color="auto" w:fill="auto"/>
            <w:vAlign w:val="center"/>
          </w:tcPr>
          <w:p w:rsidR="001F1780" w:rsidRPr="00501E9D" w:rsidRDefault="001F1780" w:rsidP="006A1D1E">
            <w:pPr>
              <w:jc w:val="center"/>
              <w:rPr>
                <w:sz w:val="24"/>
                <w:szCs w:val="24"/>
              </w:rPr>
            </w:pPr>
            <w:r w:rsidRPr="00501E9D">
              <w:rPr>
                <w:sz w:val="24"/>
                <w:szCs w:val="24"/>
              </w:rPr>
              <w:t>Высота</w:t>
            </w:r>
          </w:p>
          <w:p w:rsidR="001F1780" w:rsidRPr="00501E9D" w:rsidRDefault="001F1780" w:rsidP="006A1D1E">
            <w:pPr>
              <w:jc w:val="center"/>
              <w:rPr>
                <w:sz w:val="24"/>
                <w:szCs w:val="24"/>
              </w:rPr>
            </w:pPr>
            <w:r w:rsidRPr="00501E9D">
              <w:rPr>
                <w:sz w:val="24"/>
                <w:szCs w:val="24"/>
              </w:rPr>
              <w:t>(м.)</w:t>
            </w:r>
          </w:p>
        </w:tc>
        <w:tc>
          <w:tcPr>
            <w:tcW w:w="1548" w:type="dxa"/>
            <w:shd w:val="clear" w:color="auto" w:fill="auto"/>
            <w:vAlign w:val="center"/>
          </w:tcPr>
          <w:p w:rsidR="001F1780" w:rsidRPr="00501E9D" w:rsidRDefault="001F1780" w:rsidP="006A1D1E">
            <w:pPr>
              <w:jc w:val="center"/>
              <w:rPr>
                <w:sz w:val="24"/>
                <w:szCs w:val="24"/>
              </w:rPr>
            </w:pPr>
            <w:r w:rsidRPr="00501E9D">
              <w:rPr>
                <w:sz w:val="24"/>
                <w:szCs w:val="24"/>
              </w:rPr>
              <w:t>Количество</w:t>
            </w:r>
          </w:p>
          <w:p w:rsidR="001F1780" w:rsidRPr="00501E9D" w:rsidRDefault="001F1780" w:rsidP="006A1D1E">
            <w:pPr>
              <w:jc w:val="center"/>
              <w:rPr>
                <w:sz w:val="24"/>
                <w:szCs w:val="24"/>
              </w:rPr>
            </w:pPr>
            <w:r w:rsidRPr="00501E9D">
              <w:rPr>
                <w:sz w:val="24"/>
                <w:szCs w:val="24"/>
              </w:rPr>
              <w:t>(шт.)</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Состояние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8</w:t>
            </w:r>
          </w:p>
        </w:tc>
        <w:tc>
          <w:tcPr>
            <w:tcW w:w="1548" w:type="dxa"/>
            <w:shd w:val="clear" w:color="auto" w:fill="auto"/>
          </w:tcPr>
          <w:p w:rsidR="001F1780" w:rsidRPr="00444DB5" w:rsidRDefault="001F1780" w:rsidP="006A1D1E">
            <w:pPr>
              <w:jc w:val="center"/>
              <w:rPr>
                <w:sz w:val="24"/>
                <w:szCs w:val="24"/>
              </w:rPr>
            </w:pPr>
            <w:r w:rsidRPr="00444DB5">
              <w:rPr>
                <w:sz w:val="24"/>
                <w:szCs w:val="24"/>
              </w:rPr>
              <w:t>до 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9</w:t>
            </w:r>
          </w:p>
        </w:tc>
        <w:tc>
          <w:tcPr>
            <w:tcW w:w="1548" w:type="dxa"/>
            <w:shd w:val="clear" w:color="auto" w:fill="auto"/>
          </w:tcPr>
          <w:p w:rsidR="001F1780" w:rsidRPr="00444DB5" w:rsidRDefault="001F1780" w:rsidP="006A1D1E">
            <w:pPr>
              <w:jc w:val="center"/>
              <w:rPr>
                <w:sz w:val="24"/>
                <w:szCs w:val="24"/>
              </w:rPr>
            </w:pPr>
            <w:r w:rsidRPr="00444DB5">
              <w:rPr>
                <w:sz w:val="24"/>
                <w:szCs w:val="24"/>
              </w:rPr>
              <w:t>до 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10</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11</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12</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29</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13</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12</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16</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12</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16</w:t>
            </w:r>
          </w:p>
        </w:tc>
        <w:tc>
          <w:tcPr>
            <w:tcW w:w="1548" w:type="dxa"/>
            <w:shd w:val="clear" w:color="auto" w:fill="auto"/>
          </w:tcPr>
          <w:p w:rsidR="001F1780" w:rsidRPr="00444DB5" w:rsidRDefault="001F1780" w:rsidP="006A1D1E">
            <w:pPr>
              <w:jc w:val="center"/>
              <w:rPr>
                <w:sz w:val="24"/>
                <w:szCs w:val="24"/>
              </w:rPr>
            </w:pPr>
            <w:r w:rsidRPr="00444DB5">
              <w:rPr>
                <w:sz w:val="24"/>
                <w:szCs w:val="24"/>
              </w:rPr>
              <w:t>до 12</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9</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10</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17</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18</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9</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19</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10</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21</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11</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22</w:t>
            </w:r>
          </w:p>
        </w:tc>
        <w:tc>
          <w:tcPr>
            <w:tcW w:w="1548" w:type="dxa"/>
            <w:shd w:val="clear" w:color="auto" w:fill="auto"/>
          </w:tcPr>
          <w:p w:rsidR="001F1780" w:rsidRPr="00444DB5" w:rsidRDefault="001F1780" w:rsidP="006A1D1E">
            <w:pPr>
              <w:jc w:val="center"/>
              <w:rPr>
                <w:sz w:val="24"/>
                <w:szCs w:val="24"/>
              </w:rPr>
            </w:pPr>
            <w:r w:rsidRPr="00444DB5">
              <w:rPr>
                <w:sz w:val="24"/>
                <w:szCs w:val="24"/>
              </w:rPr>
              <w:t>до 16</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23</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21</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19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26</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20</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27</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28</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29</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36</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31</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32</w:t>
            </w:r>
          </w:p>
        </w:tc>
        <w:tc>
          <w:tcPr>
            <w:tcW w:w="1548" w:type="dxa"/>
            <w:shd w:val="clear" w:color="auto" w:fill="auto"/>
          </w:tcPr>
          <w:p w:rsidR="001F1780" w:rsidRPr="00444DB5" w:rsidRDefault="001F1780" w:rsidP="006A1D1E">
            <w:pPr>
              <w:jc w:val="center"/>
              <w:rPr>
                <w:sz w:val="24"/>
                <w:szCs w:val="24"/>
              </w:rPr>
            </w:pPr>
            <w:r w:rsidRPr="00444DB5">
              <w:rPr>
                <w:sz w:val="24"/>
                <w:szCs w:val="24"/>
              </w:rPr>
              <w:t>до 17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31</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33</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20</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21</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29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36</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22</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30</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37</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38</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39</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37</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36</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41</w:t>
            </w:r>
          </w:p>
        </w:tc>
        <w:tc>
          <w:tcPr>
            <w:tcW w:w="1548" w:type="dxa"/>
            <w:shd w:val="clear" w:color="auto" w:fill="auto"/>
          </w:tcPr>
          <w:p w:rsidR="001F1780" w:rsidRPr="00444DB5" w:rsidRDefault="001F1780" w:rsidP="006A1D1E">
            <w:pPr>
              <w:jc w:val="center"/>
              <w:rPr>
                <w:sz w:val="24"/>
                <w:szCs w:val="24"/>
              </w:rPr>
            </w:pPr>
            <w:r w:rsidRPr="00444DB5">
              <w:rPr>
                <w:sz w:val="24"/>
                <w:szCs w:val="24"/>
              </w:rPr>
              <w:t>до 18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22</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42</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43</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18</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16</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21</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39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46</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40</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47</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48</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13</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49</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29</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51</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22</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52</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12</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53</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RPr="00501E9D" w:rsidTr="006A1D1E">
        <w:trPr>
          <w:jc w:val="center"/>
        </w:trPr>
        <w:tc>
          <w:tcPr>
            <w:tcW w:w="540" w:type="dxa"/>
            <w:shd w:val="clear" w:color="auto" w:fill="auto"/>
            <w:vAlign w:val="center"/>
          </w:tcPr>
          <w:p w:rsidR="001F1780" w:rsidRPr="00501E9D" w:rsidRDefault="001F1780" w:rsidP="006A1D1E">
            <w:pPr>
              <w:jc w:val="center"/>
              <w:rPr>
                <w:sz w:val="24"/>
                <w:szCs w:val="24"/>
              </w:rPr>
            </w:pPr>
            <w:r w:rsidRPr="00501E9D">
              <w:rPr>
                <w:sz w:val="24"/>
                <w:szCs w:val="24"/>
              </w:rPr>
              <w:t>49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56</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5</w:t>
            </w:r>
          </w:p>
        </w:tc>
        <w:tc>
          <w:tcPr>
            <w:tcW w:w="2350" w:type="dxa"/>
            <w:shd w:val="clear" w:color="auto" w:fill="auto"/>
            <w:vAlign w:val="center"/>
          </w:tcPr>
          <w:p w:rsidR="001F1780" w:rsidRPr="00501E9D" w:rsidRDefault="001F1780" w:rsidP="006A1D1E">
            <w:pPr>
              <w:jc w:val="center"/>
              <w:rPr>
                <w:sz w:val="24"/>
                <w:szCs w:val="24"/>
              </w:rPr>
            </w:pPr>
            <w:r w:rsidRPr="00501E9D">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50</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58</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51</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59</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52</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60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lastRenderedPageBreak/>
              <w:t>53</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64</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54</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65</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55</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70</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56</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76</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57</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82</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58</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84</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59</w:t>
            </w:r>
          </w:p>
        </w:tc>
        <w:tc>
          <w:tcPr>
            <w:tcW w:w="1547" w:type="dxa"/>
            <w:shd w:val="clear" w:color="auto" w:fill="auto"/>
          </w:tcPr>
          <w:p w:rsidR="001F1780" w:rsidRPr="00444DB5" w:rsidRDefault="001F1780" w:rsidP="006A1D1E">
            <w:pPr>
              <w:jc w:val="center"/>
              <w:rPr>
                <w:sz w:val="24"/>
                <w:szCs w:val="24"/>
              </w:rPr>
            </w:pPr>
            <w:r w:rsidRPr="00444DB5">
              <w:rPr>
                <w:sz w:val="24"/>
                <w:szCs w:val="24"/>
              </w:rPr>
              <w:t>Сосна</w:t>
            </w:r>
          </w:p>
        </w:tc>
        <w:tc>
          <w:tcPr>
            <w:tcW w:w="1548" w:type="dxa"/>
            <w:shd w:val="clear" w:color="auto" w:fill="auto"/>
          </w:tcPr>
          <w:p w:rsidR="001F1780" w:rsidRPr="00444DB5" w:rsidRDefault="001F1780" w:rsidP="006A1D1E">
            <w:pPr>
              <w:jc w:val="center"/>
              <w:rPr>
                <w:sz w:val="24"/>
                <w:szCs w:val="24"/>
              </w:rPr>
            </w:pPr>
            <w:r w:rsidRPr="00444DB5">
              <w:rPr>
                <w:sz w:val="24"/>
                <w:szCs w:val="24"/>
              </w:rPr>
              <w:t>87</w:t>
            </w:r>
          </w:p>
        </w:tc>
        <w:tc>
          <w:tcPr>
            <w:tcW w:w="1548" w:type="dxa"/>
            <w:shd w:val="clear" w:color="auto" w:fill="auto"/>
          </w:tcPr>
          <w:p w:rsidR="001F1780" w:rsidRPr="00444DB5" w:rsidRDefault="001F1780" w:rsidP="006A1D1E">
            <w:pPr>
              <w:jc w:val="center"/>
              <w:rPr>
                <w:sz w:val="24"/>
                <w:szCs w:val="24"/>
              </w:rPr>
            </w:pPr>
            <w:r w:rsidRPr="00444DB5">
              <w:rPr>
                <w:sz w:val="24"/>
                <w:szCs w:val="24"/>
              </w:rPr>
              <w:t>до 20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60</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8</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104</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61</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9</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49</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62</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10</w:t>
            </w:r>
          </w:p>
        </w:tc>
        <w:tc>
          <w:tcPr>
            <w:tcW w:w="1548" w:type="dxa"/>
            <w:shd w:val="clear" w:color="auto" w:fill="auto"/>
          </w:tcPr>
          <w:p w:rsidR="001F1780" w:rsidRPr="00444DB5" w:rsidRDefault="001F1780" w:rsidP="006A1D1E">
            <w:pPr>
              <w:jc w:val="center"/>
              <w:rPr>
                <w:sz w:val="24"/>
                <w:szCs w:val="24"/>
              </w:rPr>
            </w:pPr>
            <w:r w:rsidRPr="00444DB5">
              <w:rPr>
                <w:sz w:val="24"/>
                <w:szCs w:val="24"/>
              </w:rPr>
              <w:t>до 9</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92</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63</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15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101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64</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20</w:t>
            </w:r>
          </w:p>
        </w:tc>
        <w:tc>
          <w:tcPr>
            <w:tcW w:w="1548" w:type="dxa"/>
            <w:shd w:val="clear" w:color="auto" w:fill="auto"/>
          </w:tcPr>
          <w:p w:rsidR="001F1780" w:rsidRPr="00444DB5" w:rsidRDefault="001F1780" w:rsidP="006A1D1E">
            <w:pPr>
              <w:jc w:val="center"/>
              <w:rPr>
                <w:sz w:val="24"/>
                <w:szCs w:val="24"/>
              </w:rPr>
            </w:pPr>
            <w:r w:rsidRPr="00444DB5">
              <w:rPr>
                <w:sz w:val="24"/>
                <w:szCs w:val="24"/>
              </w:rPr>
              <w:t>до 10</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72</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65</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24</w:t>
            </w:r>
          </w:p>
        </w:tc>
        <w:tc>
          <w:tcPr>
            <w:tcW w:w="1548" w:type="dxa"/>
            <w:shd w:val="clear" w:color="auto" w:fill="auto"/>
          </w:tcPr>
          <w:p w:rsidR="001F1780" w:rsidRPr="00444DB5" w:rsidRDefault="001F1780" w:rsidP="006A1D1E">
            <w:pPr>
              <w:jc w:val="center"/>
              <w:rPr>
                <w:sz w:val="24"/>
                <w:szCs w:val="24"/>
              </w:rPr>
            </w:pPr>
            <w:r w:rsidRPr="00444DB5">
              <w:rPr>
                <w:sz w:val="24"/>
                <w:szCs w:val="24"/>
              </w:rPr>
              <w:t>до 12</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41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66</w:t>
            </w:r>
          </w:p>
        </w:tc>
        <w:tc>
          <w:tcPr>
            <w:tcW w:w="1547" w:type="dxa"/>
            <w:shd w:val="clear" w:color="auto" w:fill="auto"/>
          </w:tcPr>
          <w:p w:rsidR="001F1780" w:rsidRPr="00444DB5" w:rsidRDefault="001F1780" w:rsidP="006A1D1E">
            <w:pPr>
              <w:jc w:val="center"/>
              <w:rPr>
                <w:sz w:val="24"/>
                <w:szCs w:val="24"/>
              </w:rPr>
            </w:pPr>
            <w:r w:rsidRPr="00444DB5">
              <w:rPr>
                <w:sz w:val="24"/>
                <w:szCs w:val="24"/>
              </w:rPr>
              <w:t>Ольха</w:t>
            </w:r>
          </w:p>
        </w:tc>
        <w:tc>
          <w:tcPr>
            <w:tcW w:w="1548" w:type="dxa"/>
            <w:shd w:val="clear" w:color="auto" w:fill="auto"/>
          </w:tcPr>
          <w:p w:rsidR="001F1780" w:rsidRPr="00444DB5" w:rsidRDefault="001F1780" w:rsidP="006A1D1E">
            <w:pPr>
              <w:jc w:val="center"/>
              <w:rPr>
                <w:sz w:val="24"/>
                <w:szCs w:val="24"/>
              </w:rPr>
            </w:pPr>
            <w:r w:rsidRPr="00444DB5">
              <w:rPr>
                <w:sz w:val="24"/>
                <w:szCs w:val="24"/>
              </w:rPr>
              <w:t>25</w:t>
            </w:r>
          </w:p>
        </w:tc>
        <w:tc>
          <w:tcPr>
            <w:tcW w:w="1548" w:type="dxa"/>
            <w:shd w:val="clear" w:color="auto" w:fill="auto"/>
          </w:tcPr>
          <w:p w:rsidR="001F1780" w:rsidRPr="00444DB5" w:rsidRDefault="001F1780" w:rsidP="006A1D1E">
            <w:pPr>
              <w:jc w:val="center"/>
              <w:rPr>
                <w:sz w:val="24"/>
                <w:szCs w:val="24"/>
              </w:rPr>
            </w:pPr>
            <w:r w:rsidRPr="00444DB5">
              <w:rPr>
                <w:sz w:val="24"/>
                <w:szCs w:val="24"/>
              </w:rPr>
              <w:t>до 12</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38</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67</w:t>
            </w:r>
          </w:p>
        </w:tc>
        <w:tc>
          <w:tcPr>
            <w:tcW w:w="1547" w:type="dxa"/>
            <w:shd w:val="clear" w:color="auto" w:fill="auto"/>
          </w:tcPr>
          <w:p w:rsidR="001F1780" w:rsidRPr="00444DB5" w:rsidRDefault="001F1780" w:rsidP="006A1D1E">
            <w:pPr>
              <w:jc w:val="center"/>
              <w:rPr>
                <w:sz w:val="24"/>
                <w:szCs w:val="24"/>
              </w:rPr>
            </w:pPr>
            <w:r w:rsidRPr="00444DB5">
              <w:rPr>
                <w:sz w:val="24"/>
                <w:szCs w:val="24"/>
              </w:rPr>
              <w:t>Осина</w:t>
            </w:r>
          </w:p>
        </w:tc>
        <w:tc>
          <w:tcPr>
            <w:tcW w:w="1548" w:type="dxa"/>
            <w:shd w:val="clear" w:color="auto" w:fill="auto"/>
          </w:tcPr>
          <w:p w:rsidR="001F1780" w:rsidRPr="00444DB5" w:rsidRDefault="001F1780" w:rsidP="006A1D1E">
            <w:pPr>
              <w:jc w:val="center"/>
              <w:rPr>
                <w:sz w:val="24"/>
                <w:szCs w:val="24"/>
              </w:rPr>
            </w:pPr>
            <w:r w:rsidRPr="00444DB5">
              <w:rPr>
                <w:sz w:val="24"/>
                <w:szCs w:val="24"/>
              </w:rPr>
              <w:t>8</w:t>
            </w:r>
          </w:p>
        </w:tc>
        <w:tc>
          <w:tcPr>
            <w:tcW w:w="1548" w:type="dxa"/>
            <w:shd w:val="clear" w:color="auto" w:fill="auto"/>
          </w:tcPr>
          <w:p w:rsidR="001F1780" w:rsidRPr="00444DB5" w:rsidRDefault="001F1780" w:rsidP="006A1D1E">
            <w:pPr>
              <w:jc w:val="center"/>
              <w:rPr>
                <w:sz w:val="24"/>
                <w:szCs w:val="24"/>
              </w:rPr>
            </w:pPr>
            <w:r w:rsidRPr="00444DB5">
              <w:rPr>
                <w:sz w:val="24"/>
                <w:szCs w:val="24"/>
              </w:rPr>
              <w:t>до 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12</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68</w:t>
            </w:r>
          </w:p>
        </w:tc>
        <w:tc>
          <w:tcPr>
            <w:tcW w:w="1547" w:type="dxa"/>
            <w:shd w:val="clear" w:color="auto" w:fill="auto"/>
          </w:tcPr>
          <w:p w:rsidR="001F1780" w:rsidRPr="00444DB5" w:rsidRDefault="001F1780" w:rsidP="006A1D1E">
            <w:pPr>
              <w:jc w:val="center"/>
              <w:rPr>
                <w:sz w:val="24"/>
                <w:szCs w:val="24"/>
              </w:rPr>
            </w:pPr>
            <w:r w:rsidRPr="00444DB5">
              <w:rPr>
                <w:sz w:val="24"/>
                <w:szCs w:val="24"/>
              </w:rPr>
              <w:t>Осина</w:t>
            </w:r>
          </w:p>
        </w:tc>
        <w:tc>
          <w:tcPr>
            <w:tcW w:w="1548" w:type="dxa"/>
            <w:shd w:val="clear" w:color="auto" w:fill="auto"/>
          </w:tcPr>
          <w:p w:rsidR="001F1780" w:rsidRPr="00444DB5" w:rsidRDefault="001F1780" w:rsidP="006A1D1E">
            <w:pPr>
              <w:jc w:val="center"/>
              <w:rPr>
                <w:sz w:val="24"/>
                <w:szCs w:val="24"/>
              </w:rPr>
            </w:pPr>
            <w:r w:rsidRPr="00444DB5">
              <w:rPr>
                <w:sz w:val="24"/>
                <w:szCs w:val="24"/>
              </w:rPr>
              <w:t>14</w:t>
            </w:r>
          </w:p>
        </w:tc>
        <w:tc>
          <w:tcPr>
            <w:tcW w:w="1548" w:type="dxa"/>
            <w:shd w:val="clear" w:color="auto" w:fill="auto"/>
          </w:tcPr>
          <w:p w:rsidR="001F1780" w:rsidRPr="00444DB5" w:rsidRDefault="001F1780" w:rsidP="006A1D1E">
            <w:pPr>
              <w:jc w:val="center"/>
              <w:rPr>
                <w:sz w:val="24"/>
                <w:szCs w:val="24"/>
              </w:rPr>
            </w:pPr>
            <w:r w:rsidRPr="00444DB5">
              <w:rPr>
                <w:sz w:val="24"/>
                <w:szCs w:val="24"/>
              </w:rPr>
              <w:t>до 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69</w:t>
            </w:r>
          </w:p>
        </w:tc>
        <w:tc>
          <w:tcPr>
            <w:tcW w:w="1547" w:type="dxa"/>
            <w:shd w:val="clear" w:color="auto" w:fill="auto"/>
          </w:tcPr>
          <w:p w:rsidR="001F1780" w:rsidRPr="00444DB5" w:rsidRDefault="001F1780" w:rsidP="006A1D1E">
            <w:pPr>
              <w:jc w:val="center"/>
              <w:rPr>
                <w:sz w:val="24"/>
                <w:szCs w:val="24"/>
              </w:rPr>
            </w:pPr>
            <w:r w:rsidRPr="00444DB5">
              <w:rPr>
                <w:sz w:val="24"/>
                <w:szCs w:val="24"/>
              </w:rPr>
              <w:t>Осина</w:t>
            </w:r>
          </w:p>
        </w:tc>
        <w:tc>
          <w:tcPr>
            <w:tcW w:w="1548" w:type="dxa"/>
            <w:shd w:val="clear" w:color="auto" w:fill="auto"/>
          </w:tcPr>
          <w:p w:rsidR="001F1780" w:rsidRPr="00444DB5" w:rsidRDefault="001F1780" w:rsidP="006A1D1E">
            <w:pPr>
              <w:jc w:val="center"/>
              <w:rPr>
                <w:sz w:val="24"/>
                <w:szCs w:val="24"/>
              </w:rPr>
            </w:pPr>
            <w:r w:rsidRPr="00444DB5">
              <w:rPr>
                <w:sz w:val="24"/>
                <w:szCs w:val="24"/>
              </w:rPr>
              <w:t>15</w:t>
            </w:r>
          </w:p>
        </w:tc>
        <w:tc>
          <w:tcPr>
            <w:tcW w:w="1548" w:type="dxa"/>
            <w:shd w:val="clear" w:color="auto" w:fill="auto"/>
          </w:tcPr>
          <w:p w:rsidR="001F1780" w:rsidRPr="00444DB5" w:rsidRDefault="001F1780" w:rsidP="006A1D1E">
            <w:pPr>
              <w:jc w:val="center"/>
              <w:rPr>
                <w:sz w:val="24"/>
                <w:szCs w:val="24"/>
              </w:rPr>
            </w:pPr>
            <w:r w:rsidRPr="00444DB5">
              <w:rPr>
                <w:sz w:val="24"/>
                <w:szCs w:val="24"/>
              </w:rPr>
              <w:t>до 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70</w:t>
            </w:r>
          </w:p>
        </w:tc>
        <w:tc>
          <w:tcPr>
            <w:tcW w:w="1547" w:type="dxa"/>
            <w:shd w:val="clear" w:color="auto" w:fill="auto"/>
          </w:tcPr>
          <w:p w:rsidR="001F1780" w:rsidRPr="00444DB5" w:rsidRDefault="001F1780" w:rsidP="006A1D1E">
            <w:pPr>
              <w:jc w:val="center"/>
              <w:rPr>
                <w:sz w:val="24"/>
                <w:szCs w:val="24"/>
              </w:rPr>
            </w:pPr>
            <w:r w:rsidRPr="00444DB5">
              <w:rPr>
                <w:sz w:val="24"/>
                <w:szCs w:val="24"/>
              </w:rPr>
              <w:t>Осина</w:t>
            </w:r>
          </w:p>
        </w:tc>
        <w:tc>
          <w:tcPr>
            <w:tcW w:w="1548" w:type="dxa"/>
            <w:shd w:val="clear" w:color="auto" w:fill="auto"/>
          </w:tcPr>
          <w:p w:rsidR="001F1780" w:rsidRPr="00444DB5" w:rsidRDefault="001F1780" w:rsidP="006A1D1E">
            <w:pPr>
              <w:jc w:val="center"/>
              <w:rPr>
                <w:sz w:val="24"/>
                <w:szCs w:val="24"/>
              </w:rPr>
            </w:pPr>
            <w:r w:rsidRPr="00444DB5">
              <w:rPr>
                <w:sz w:val="24"/>
                <w:szCs w:val="24"/>
              </w:rPr>
              <w:t>11</w:t>
            </w:r>
          </w:p>
        </w:tc>
        <w:tc>
          <w:tcPr>
            <w:tcW w:w="1548" w:type="dxa"/>
            <w:shd w:val="clear" w:color="auto" w:fill="auto"/>
          </w:tcPr>
          <w:p w:rsidR="001F1780" w:rsidRPr="00444DB5" w:rsidRDefault="001F1780" w:rsidP="006A1D1E">
            <w:pPr>
              <w:jc w:val="center"/>
              <w:rPr>
                <w:sz w:val="24"/>
                <w:szCs w:val="24"/>
              </w:rPr>
            </w:pPr>
            <w:r w:rsidRPr="00444DB5">
              <w:rPr>
                <w:sz w:val="24"/>
                <w:szCs w:val="24"/>
              </w:rPr>
              <w:t>до 7</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71</w:t>
            </w:r>
          </w:p>
        </w:tc>
        <w:tc>
          <w:tcPr>
            <w:tcW w:w="1547" w:type="dxa"/>
            <w:shd w:val="clear" w:color="auto" w:fill="auto"/>
          </w:tcPr>
          <w:p w:rsidR="001F1780" w:rsidRPr="00444DB5" w:rsidRDefault="001F1780" w:rsidP="006A1D1E">
            <w:pPr>
              <w:jc w:val="center"/>
              <w:rPr>
                <w:sz w:val="24"/>
                <w:szCs w:val="24"/>
              </w:rPr>
            </w:pPr>
            <w:r w:rsidRPr="00444DB5">
              <w:rPr>
                <w:sz w:val="24"/>
                <w:szCs w:val="24"/>
              </w:rPr>
              <w:t>Осина</w:t>
            </w:r>
          </w:p>
        </w:tc>
        <w:tc>
          <w:tcPr>
            <w:tcW w:w="1548" w:type="dxa"/>
            <w:shd w:val="clear" w:color="auto" w:fill="auto"/>
          </w:tcPr>
          <w:p w:rsidR="001F1780" w:rsidRPr="00444DB5" w:rsidRDefault="001F1780" w:rsidP="006A1D1E">
            <w:pPr>
              <w:jc w:val="center"/>
              <w:rPr>
                <w:sz w:val="24"/>
                <w:szCs w:val="24"/>
              </w:rPr>
            </w:pPr>
            <w:r w:rsidRPr="00444DB5">
              <w:rPr>
                <w:sz w:val="24"/>
                <w:szCs w:val="24"/>
              </w:rPr>
              <w:t>18</w:t>
            </w:r>
          </w:p>
        </w:tc>
        <w:tc>
          <w:tcPr>
            <w:tcW w:w="1548" w:type="dxa"/>
            <w:shd w:val="clear" w:color="auto" w:fill="auto"/>
          </w:tcPr>
          <w:p w:rsidR="001F1780" w:rsidRPr="00444DB5" w:rsidRDefault="001F1780" w:rsidP="006A1D1E">
            <w:pPr>
              <w:jc w:val="center"/>
              <w:rPr>
                <w:sz w:val="24"/>
                <w:szCs w:val="24"/>
              </w:rPr>
            </w:pPr>
            <w:r w:rsidRPr="00444DB5">
              <w:rPr>
                <w:sz w:val="24"/>
                <w:szCs w:val="24"/>
              </w:rPr>
              <w:t>до 8</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72</w:t>
            </w:r>
          </w:p>
        </w:tc>
        <w:tc>
          <w:tcPr>
            <w:tcW w:w="1547" w:type="dxa"/>
            <w:shd w:val="clear" w:color="auto" w:fill="auto"/>
          </w:tcPr>
          <w:p w:rsidR="001F1780" w:rsidRPr="00444DB5" w:rsidRDefault="001F1780" w:rsidP="006A1D1E">
            <w:pPr>
              <w:jc w:val="center"/>
              <w:rPr>
                <w:sz w:val="24"/>
                <w:szCs w:val="24"/>
              </w:rPr>
            </w:pPr>
            <w:r w:rsidRPr="00444DB5">
              <w:rPr>
                <w:sz w:val="24"/>
                <w:szCs w:val="24"/>
              </w:rPr>
              <w:t>Рябина</w:t>
            </w:r>
          </w:p>
        </w:tc>
        <w:tc>
          <w:tcPr>
            <w:tcW w:w="1548" w:type="dxa"/>
            <w:shd w:val="clear" w:color="auto" w:fill="auto"/>
          </w:tcPr>
          <w:p w:rsidR="001F1780" w:rsidRPr="00444DB5" w:rsidRDefault="001F1780" w:rsidP="006A1D1E">
            <w:pPr>
              <w:jc w:val="center"/>
              <w:rPr>
                <w:sz w:val="24"/>
                <w:szCs w:val="24"/>
              </w:rPr>
            </w:pPr>
            <w:r w:rsidRPr="00444DB5">
              <w:rPr>
                <w:sz w:val="24"/>
                <w:szCs w:val="24"/>
              </w:rPr>
              <w:t>8</w:t>
            </w:r>
          </w:p>
        </w:tc>
        <w:tc>
          <w:tcPr>
            <w:tcW w:w="1548" w:type="dxa"/>
            <w:shd w:val="clear" w:color="auto" w:fill="auto"/>
          </w:tcPr>
          <w:p w:rsidR="001F1780" w:rsidRPr="00444DB5" w:rsidRDefault="001F1780" w:rsidP="006A1D1E">
            <w:pPr>
              <w:jc w:val="center"/>
              <w:rPr>
                <w:sz w:val="24"/>
                <w:szCs w:val="24"/>
              </w:rPr>
            </w:pPr>
            <w:r w:rsidRPr="00444DB5">
              <w:rPr>
                <w:sz w:val="24"/>
                <w:szCs w:val="24"/>
              </w:rPr>
              <w:t>до 5</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Pr="00501E9D" w:rsidRDefault="001F1780" w:rsidP="006A1D1E">
            <w:pPr>
              <w:jc w:val="center"/>
              <w:rPr>
                <w:sz w:val="24"/>
                <w:szCs w:val="24"/>
              </w:rPr>
            </w:pPr>
            <w:r>
              <w:rPr>
                <w:sz w:val="24"/>
                <w:szCs w:val="24"/>
              </w:rPr>
              <w:t>73</w:t>
            </w:r>
          </w:p>
        </w:tc>
        <w:tc>
          <w:tcPr>
            <w:tcW w:w="1547" w:type="dxa"/>
            <w:shd w:val="clear" w:color="auto" w:fill="auto"/>
          </w:tcPr>
          <w:p w:rsidR="001F1780" w:rsidRPr="00444DB5" w:rsidRDefault="001F1780" w:rsidP="006A1D1E">
            <w:pPr>
              <w:jc w:val="center"/>
              <w:rPr>
                <w:sz w:val="24"/>
                <w:szCs w:val="24"/>
              </w:rPr>
            </w:pPr>
            <w:r w:rsidRPr="00444DB5">
              <w:rPr>
                <w:sz w:val="24"/>
                <w:szCs w:val="24"/>
              </w:rPr>
              <w:t>Береза</w:t>
            </w:r>
          </w:p>
        </w:tc>
        <w:tc>
          <w:tcPr>
            <w:tcW w:w="1548" w:type="dxa"/>
            <w:shd w:val="clear" w:color="auto" w:fill="auto"/>
          </w:tcPr>
          <w:p w:rsidR="001F1780" w:rsidRPr="00444DB5" w:rsidRDefault="001F1780" w:rsidP="006A1D1E">
            <w:pPr>
              <w:jc w:val="center"/>
              <w:rPr>
                <w:sz w:val="24"/>
                <w:szCs w:val="24"/>
              </w:rPr>
            </w:pPr>
            <w:r w:rsidRPr="00444DB5">
              <w:rPr>
                <w:sz w:val="24"/>
                <w:szCs w:val="24"/>
              </w:rPr>
              <w:t>12</w:t>
            </w:r>
          </w:p>
        </w:tc>
        <w:tc>
          <w:tcPr>
            <w:tcW w:w="1548" w:type="dxa"/>
            <w:shd w:val="clear" w:color="auto" w:fill="auto"/>
          </w:tcPr>
          <w:p w:rsidR="001F1780" w:rsidRPr="00444DB5" w:rsidRDefault="001F1780" w:rsidP="006A1D1E">
            <w:pPr>
              <w:jc w:val="center"/>
              <w:rPr>
                <w:sz w:val="24"/>
                <w:szCs w:val="24"/>
              </w:rPr>
            </w:pPr>
            <w:r w:rsidRPr="00444DB5">
              <w:rPr>
                <w:sz w:val="24"/>
                <w:szCs w:val="24"/>
              </w:rPr>
              <w:t>до 5</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2</w:t>
            </w:r>
          </w:p>
        </w:tc>
        <w:tc>
          <w:tcPr>
            <w:tcW w:w="2350" w:type="dxa"/>
            <w:shd w:val="clear" w:color="auto" w:fill="auto"/>
          </w:tcPr>
          <w:p w:rsidR="001F1780" w:rsidRDefault="001F1780" w:rsidP="006A1D1E">
            <w:r w:rsidRPr="00CE6AC5">
              <w:rPr>
                <w:sz w:val="24"/>
                <w:szCs w:val="24"/>
              </w:rPr>
              <w:t>Удовлетворительное</w:t>
            </w:r>
          </w:p>
        </w:tc>
      </w:tr>
      <w:tr w:rsidR="001F1780" w:rsidTr="006A1D1E">
        <w:trPr>
          <w:jc w:val="center"/>
        </w:trPr>
        <w:tc>
          <w:tcPr>
            <w:tcW w:w="540" w:type="dxa"/>
            <w:shd w:val="clear" w:color="auto" w:fill="auto"/>
            <w:vAlign w:val="center"/>
          </w:tcPr>
          <w:p w:rsidR="001F1780" w:rsidRDefault="001F1780" w:rsidP="006A1D1E">
            <w:pPr>
              <w:jc w:val="center"/>
              <w:rPr>
                <w:sz w:val="24"/>
                <w:szCs w:val="24"/>
              </w:rPr>
            </w:pPr>
            <w:r>
              <w:rPr>
                <w:sz w:val="24"/>
                <w:szCs w:val="24"/>
              </w:rPr>
              <w:t>74</w:t>
            </w:r>
          </w:p>
        </w:tc>
        <w:tc>
          <w:tcPr>
            <w:tcW w:w="1547" w:type="dxa"/>
            <w:shd w:val="clear" w:color="auto" w:fill="auto"/>
          </w:tcPr>
          <w:p w:rsidR="001F1780" w:rsidRPr="00444DB5" w:rsidRDefault="001F1780" w:rsidP="006A1D1E">
            <w:pPr>
              <w:jc w:val="center"/>
              <w:rPr>
                <w:sz w:val="24"/>
                <w:szCs w:val="24"/>
              </w:rPr>
            </w:pPr>
            <w:r w:rsidRPr="00444DB5">
              <w:rPr>
                <w:sz w:val="24"/>
                <w:szCs w:val="24"/>
              </w:rPr>
              <w:t>Береза</w:t>
            </w:r>
          </w:p>
        </w:tc>
        <w:tc>
          <w:tcPr>
            <w:tcW w:w="1548" w:type="dxa"/>
            <w:shd w:val="clear" w:color="auto" w:fill="auto"/>
          </w:tcPr>
          <w:p w:rsidR="001F1780" w:rsidRPr="00444DB5" w:rsidRDefault="001F1780" w:rsidP="006A1D1E">
            <w:pPr>
              <w:jc w:val="center"/>
              <w:rPr>
                <w:sz w:val="24"/>
                <w:szCs w:val="24"/>
              </w:rPr>
            </w:pPr>
            <w:r w:rsidRPr="00444DB5">
              <w:rPr>
                <w:sz w:val="24"/>
                <w:szCs w:val="24"/>
              </w:rPr>
              <w:t>9</w:t>
            </w:r>
          </w:p>
        </w:tc>
        <w:tc>
          <w:tcPr>
            <w:tcW w:w="1548" w:type="dxa"/>
            <w:shd w:val="clear" w:color="auto" w:fill="auto"/>
          </w:tcPr>
          <w:p w:rsidR="001F1780" w:rsidRPr="00444DB5" w:rsidRDefault="001F1780" w:rsidP="006A1D1E">
            <w:pPr>
              <w:jc w:val="center"/>
              <w:rPr>
                <w:sz w:val="24"/>
                <w:szCs w:val="24"/>
              </w:rPr>
            </w:pPr>
            <w:r w:rsidRPr="00444DB5">
              <w:rPr>
                <w:sz w:val="24"/>
                <w:szCs w:val="24"/>
              </w:rPr>
              <w:t>до 5</w:t>
            </w:r>
          </w:p>
        </w:tc>
        <w:tc>
          <w:tcPr>
            <w:tcW w:w="1548" w:type="dxa"/>
            <w:shd w:val="clear" w:color="auto" w:fill="auto"/>
          </w:tcPr>
          <w:p w:rsidR="001F1780" w:rsidRPr="00444DB5" w:rsidRDefault="001F1780" w:rsidP="006A1D1E">
            <w:pPr>
              <w:jc w:val="center"/>
              <w:rPr>
                <w:color w:val="000000"/>
                <w:sz w:val="24"/>
                <w:szCs w:val="24"/>
              </w:rPr>
            </w:pPr>
            <w:r w:rsidRPr="00444DB5">
              <w:rPr>
                <w:color w:val="000000"/>
                <w:sz w:val="24"/>
                <w:szCs w:val="24"/>
              </w:rPr>
              <w:t>1</w:t>
            </w:r>
          </w:p>
        </w:tc>
        <w:tc>
          <w:tcPr>
            <w:tcW w:w="2350" w:type="dxa"/>
            <w:shd w:val="clear" w:color="auto" w:fill="auto"/>
          </w:tcPr>
          <w:p w:rsidR="001F1780" w:rsidRDefault="001F1780" w:rsidP="006A1D1E">
            <w:r w:rsidRPr="00CE6AC5">
              <w:rPr>
                <w:sz w:val="24"/>
                <w:szCs w:val="24"/>
              </w:rPr>
              <w:t>Удовлетворительное</w:t>
            </w:r>
          </w:p>
        </w:tc>
      </w:tr>
    </w:tbl>
    <w:p w:rsidR="00BC0E01" w:rsidRDefault="00BC0E01" w:rsidP="00BC0E01">
      <w:pPr>
        <w:widowControl/>
        <w:ind w:firstLine="567"/>
        <w:jc w:val="both"/>
        <w:rPr>
          <w:sz w:val="24"/>
          <w:szCs w:val="24"/>
        </w:rPr>
      </w:pP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6A1D1E" w:rsidRPr="006A1D1E">
        <w:rPr>
          <w:sz w:val="23"/>
          <w:szCs w:val="23"/>
        </w:rPr>
        <w:t>2 377 000 (Два миллиона триста семьдесят семь тысяч) рублей</w:t>
      </w:r>
      <w:r w:rsidR="006A1D1E">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6A1D1E" w:rsidRPr="006A1D1E">
        <w:rPr>
          <w:sz w:val="23"/>
          <w:szCs w:val="23"/>
        </w:rPr>
        <w:t>1 188 500 (Один миллион сто восемьдесят восемь тысяча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6A1D1E" w:rsidRPr="006A1D1E">
        <w:rPr>
          <w:sz w:val="23"/>
          <w:szCs w:val="23"/>
        </w:rPr>
        <w:t>237 700 (Двести тридцать семь тысяч семьсот)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6A1D1E" w:rsidRPr="006A1D1E">
        <w:rPr>
          <w:sz w:val="23"/>
          <w:szCs w:val="23"/>
        </w:rPr>
        <w:t>118 850 (Сто восемнадцать тысяч восемьсот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6A1D1E" w:rsidRPr="006A1D1E">
        <w:rPr>
          <w:sz w:val="23"/>
          <w:szCs w:val="23"/>
        </w:rPr>
        <w:t>475 400 (Четыреста семьдесят пять тысяч четыреста)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C0E01">
        <w:rPr>
          <w:color w:val="000000"/>
          <w:sz w:val="23"/>
          <w:szCs w:val="23"/>
        </w:rPr>
        <w:t>1</w:t>
      </w:r>
      <w:r w:rsidR="001F1780">
        <w:rPr>
          <w:color w:val="000000"/>
          <w:sz w:val="23"/>
          <w:szCs w:val="23"/>
        </w:rPr>
        <w:t>3</w:t>
      </w:r>
      <w:r w:rsidR="00B72305">
        <w:rPr>
          <w:color w:val="000000"/>
          <w:sz w:val="23"/>
          <w:szCs w:val="23"/>
        </w:rPr>
        <w:t>.</w:t>
      </w:r>
      <w:r w:rsidR="001F1780">
        <w:rPr>
          <w:color w:val="000000"/>
          <w:sz w:val="23"/>
          <w:szCs w:val="23"/>
        </w:rPr>
        <w:t>0</w:t>
      </w:r>
      <w:r w:rsidR="00BC0E01">
        <w:rPr>
          <w:color w:val="000000"/>
          <w:sz w:val="23"/>
          <w:szCs w:val="23"/>
        </w:rPr>
        <w:t>1</w:t>
      </w:r>
      <w:r w:rsidR="00B72305">
        <w:rPr>
          <w:color w:val="000000"/>
          <w:sz w:val="23"/>
          <w:szCs w:val="23"/>
        </w:rPr>
        <w:t>.20</w:t>
      </w:r>
      <w:r w:rsidR="001F1780">
        <w:rPr>
          <w:color w:val="000000"/>
          <w:sz w:val="23"/>
          <w:szCs w:val="23"/>
        </w:rPr>
        <w:t>20</w:t>
      </w:r>
      <w:r w:rsidR="00A53B10">
        <w:rPr>
          <w:color w:val="000000"/>
          <w:sz w:val="23"/>
          <w:szCs w:val="23"/>
        </w:rPr>
        <w:t xml:space="preserve"> </w:t>
      </w:r>
      <w:r w:rsidRPr="008F4E43">
        <w:rPr>
          <w:color w:val="000000"/>
          <w:sz w:val="23"/>
          <w:szCs w:val="23"/>
        </w:rPr>
        <w:t>был</w:t>
      </w:r>
      <w:r w:rsidR="00A53B10">
        <w:rPr>
          <w:color w:val="000000"/>
          <w:sz w:val="23"/>
          <w:szCs w:val="23"/>
        </w:rPr>
        <w:t>а</w:t>
      </w:r>
      <w:r w:rsidRPr="008F4E43">
        <w:rPr>
          <w:color w:val="000000"/>
          <w:sz w:val="23"/>
          <w:szCs w:val="23"/>
        </w:rPr>
        <w:t xml:space="preserve"> признан</w:t>
      </w:r>
      <w:r w:rsidR="00A53B10">
        <w:rPr>
          <w:color w:val="000000"/>
          <w:sz w:val="23"/>
          <w:szCs w:val="23"/>
        </w:rPr>
        <w:t>а</w:t>
      </w:r>
      <w:r w:rsidRPr="008F4E43">
        <w:rPr>
          <w:color w:val="000000"/>
          <w:sz w:val="23"/>
          <w:szCs w:val="23"/>
        </w:rPr>
        <w:t xml:space="preserve"> несостоявшимся в связи с отсутствием</w:t>
      </w:r>
      <w:r w:rsidR="001F1780">
        <w:rPr>
          <w:color w:val="000000"/>
          <w:sz w:val="23"/>
          <w:szCs w:val="23"/>
        </w:rPr>
        <w:t xml:space="preserve"> допущенных</w:t>
      </w:r>
      <w:r w:rsidRPr="008F4E43">
        <w:rPr>
          <w:color w:val="000000"/>
          <w:sz w:val="23"/>
          <w:szCs w:val="23"/>
        </w:rPr>
        <w:t xml:space="preserve"> </w:t>
      </w:r>
      <w:r w:rsidR="001F1780">
        <w:rPr>
          <w:color w:val="000000"/>
          <w:sz w:val="23"/>
          <w:szCs w:val="23"/>
        </w:rPr>
        <w:t>участников</w:t>
      </w:r>
      <w:r w:rsidRPr="008F4E43">
        <w:rPr>
          <w:color w:val="000000"/>
          <w:sz w:val="23"/>
          <w:szCs w:val="23"/>
        </w:rPr>
        <w:t xml:space="preserve"> </w:t>
      </w:r>
      <w:r w:rsidR="001F1780">
        <w:rPr>
          <w:color w:val="000000"/>
          <w:sz w:val="23"/>
          <w:szCs w:val="23"/>
        </w:rPr>
        <w:t>к</w:t>
      </w:r>
      <w:r w:rsidRPr="008F4E43">
        <w:rPr>
          <w:color w:val="000000"/>
          <w:sz w:val="23"/>
          <w:szCs w:val="23"/>
        </w:rPr>
        <w:t xml:space="preserve"> продаже имущества</w:t>
      </w:r>
      <w:r w:rsidR="00A53B10">
        <w:rPr>
          <w:color w:val="000000"/>
          <w:sz w:val="23"/>
          <w:szCs w:val="23"/>
        </w:rPr>
        <w:t>,</w:t>
      </w:r>
      <w:r w:rsidR="00A53B10">
        <w:rPr>
          <w:color w:val="000000"/>
          <w:sz w:val="23"/>
          <w:szCs w:val="23"/>
        </w:rPr>
        <w:t xml:space="preserve"> </w:t>
      </w:r>
      <w:proofErr w:type="gramStart"/>
      <w:r w:rsidR="00A53B10">
        <w:rPr>
          <w:color w:val="000000"/>
          <w:sz w:val="23"/>
          <w:szCs w:val="23"/>
        </w:rPr>
        <w:t>продажа</w:t>
      </w:r>
      <w:proofErr w:type="gramEnd"/>
      <w:r w:rsidR="00A53B10">
        <w:rPr>
          <w:color w:val="000000"/>
          <w:sz w:val="23"/>
          <w:szCs w:val="23"/>
        </w:rPr>
        <w:t xml:space="preserve"> посредством публичного предложения назначенная на 25.02.2020</w:t>
      </w:r>
      <w:r w:rsidR="00A53B10">
        <w:rPr>
          <w:color w:val="000000"/>
          <w:sz w:val="23"/>
          <w:szCs w:val="23"/>
        </w:rPr>
        <w:t xml:space="preserve"> </w:t>
      </w:r>
      <w:r w:rsidR="00A53B10" w:rsidRPr="008F4E43">
        <w:rPr>
          <w:color w:val="000000"/>
          <w:sz w:val="23"/>
          <w:szCs w:val="23"/>
        </w:rPr>
        <w:t>был</w:t>
      </w:r>
      <w:r w:rsidR="00A53B10">
        <w:rPr>
          <w:color w:val="000000"/>
          <w:sz w:val="23"/>
          <w:szCs w:val="23"/>
        </w:rPr>
        <w:t>а</w:t>
      </w:r>
      <w:r w:rsidR="00A53B10" w:rsidRPr="008F4E43">
        <w:rPr>
          <w:color w:val="000000"/>
          <w:sz w:val="23"/>
          <w:szCs w:val="23"/>
        </w:rPr>
        <w:t xml:space="preserve"> признан</w:t>
      </w:r>
      <w:r w:rsidR="00A53B10">
        <w:rPr>
          <w:color w:val="000000"/>
          <w:sz w:val="23"/>
          <w:szCs w:val="23"/>
        </w:rPr>
        <w:t>а</w:t>
      </w:r>
      <w:r w:rsidR="00A53B10" w:rsidRPr="008F4E43">
        <w:rPr>
          <w:color w:val="000000"/>
          <w:sz w:val="23"/>
          <w:szCs w:val="23"/>
        </w:rPr>
        <w:t xml:space="preserve"> несостоявшимся в связи с </w:t>
      </w:r>
      <w:r w:rsidR="00A53B10">
        <w:rPr>
          <w:color w:val="000000"/>
          <w:sz w:val="23"/>
          <w:szCs w:val="23"/>
        </w:rPr>
        <w:t xml:space="preserve">подачей менее двух заявок на участие в аукционе.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6A1D1E">
        <w:rPr>
          <w:b/>
          <w:sz w:val="23"/>
          <w:szCs w:val="23"/>
        </w:rPr>
        <w:t>2</w:t>
      </w:r>
      <w:r w:rsidR="00DE7F90">
        <w:rPr>
          <w:b/>
          <w:sz w:val="23"/>
          <w:szCs w:val="23"/>
        </w:rPr>
        <w:t>1</w:t>
      </w:r>
      <w:r w:rsidR="00082DAC">
        <w:rPr>
          <w:b/>
          <w:sz w:val="23"/>
          <w:szCs w:val="23"/>
        </w:rPr>
        <w:t xml:space="preserve"> </w:t>
      </w:r>
      <w:r w:rsidR="00DE7F90">
        <w:rPr>
          <w:b/>
          <w:sz w:val="23"/>
          <w:szCs w:val="23"/>
        </w:rPr>
        <w:t>феврал</w:t>
      </w:r>
      <w:r w:rsidR="00154814">
        <w:rPr>
          <w:b/>
          <w:sz w:val="23"/>
          <w:szCs w:val="23"/>
        </w:rPr>
        <w:t>я</w:t>
      </w:r>
      <w:r w:rsidR="00D876BF" w:rsidRPr="00D876BF">
        <w:rPr>
          <w:b/>
          <w:sz w:val="23"/>
          <w:szCs w:val="23"/>
        </w:rPr>
        <w:t xml:space="preserve"> </w:t>
      </w:r>
      <w:r w:rsidR="008512AA" w:rsidRPr="00D876BF">
        <w:rPr>
          <w:b/>
          <w:sz w:val="23"/>
          <w:szCs w:val="23"/>
        </w:rPr>
        <w:t>20</w:t>
      </w:r>
      <w:r w:rsidR="006A1D1E">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DE7F90">
        <w:rPr>
          <w:b/>
          <w:sz w:val="23"/>
          <w:szCs w:val="23"/>
        </w:rPr>
        <w:t>19</w:t>
      </w:r>
      <w:r w:rsidR="008512AA" w:rsidRPr="001E029A">
        <w:rPr>
          <w:b/>
          <w:sz w:val="23"/>
          <w:szCs w:val="23"/>
        </w:rPr>
        <w:t xml:space="preserve"> </w:t>
      </w:r>
      <w:r w:rsidR="00DE7F90">
        <w:rPr>
          <w:b/>
          <w:sz w:val="23"/>
          <w:szCs w:val="23"/>
        </w:rPr>
        <w:t>марта</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B14EA9">
        <w:rPr>
          <w:b/>
          <w:sz w:val="23"/>
          <w:szCs w:val="23"/>
        </w:rPr>
        <w:t>2</w:t>
      </w:r>
      <w:r w:rsidR="00DE7F90">
        <w:rPr>
          <w:b/>
          <w:sz w:val="23"/>
          <w:szCs w:val="23"/>
        </w:rPr>
        <w:t>0</w:t>
      </w:r>
      <w:r w:rsidR="008512AA" w:rsidRPr="001E029A">
        <w:rPr>
          <w:b/>
          <w:sz w:val="23"/>
          <w:szCs w:val="23"/>
        </w:rPr>
        <w:t xml:space="preserve"> </w:t>
      </w:r>
      <w:r w:rsidR="00DE7F90">
        <w:rPr>
          <w:b/>
          <w:sz w:val="23"/>
          <w:szCs w:val="23"/>
        </w:rPr>
        <w:t>марта</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6A1D1E">
        <w:rPr>
          <w:b/>
          <w:sz w:val="23"/>
          <w:szCs w:val="23"/>
        </w:rPr>
        <w:t>2</w:t>
      </w:r>
      <w:r w:rsidR="00DE7F90">
        <w:rPr>
          <w:b/>
          <w:sz w:val="23"/>
          <w:szCs w:val="23"/>
        </w:rPr>
        <w:t>3</w:t>
      </w:r>
      <w:r w:rsidR="001E029A" w:rsidRPr="001E029A">
        <w:rPr>
          <w:b/>
          <w:sz w:val="23"/>
          <w:szCs w:val="23"/>
        </w:rPr>
        <w:t xml:space="preserve"> </w:t>
      </w:r>
      <w:r w:rsidR="00DE7F90">
        <w:rPr>
          <w:b/>
          <w:sz w:val="23"/>
          <w:szCs w:val="23"/>
        </w:rPr>
        <w:t>марта</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w:t>
      </w:r>
      <w:r w:rsidRPr="008F4E43">
        <w:rPr>
          <w:sz w:val="23"/>
          <w:szCs w:val="23"/>
        </w:rPr>
        <w:lastRenderedPageBreak/>
        <w:t>№</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w:t>
      </w:r>
      <w:r w:rsidRPr="008F4E43">
        <w:rPr>
          <w:sz w:val="23"/>
          <w:szCs w:val="23"/>
        </w:rPr>
        <w:lastRenderedPageBreak/>
        <w:t xml:space="preserve">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lastRenderedPageBreak/>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 xml:space="preserve">в </w:t>
      </w:r>
      <w:r w:rsidRPr="008F4E43">
        <w:rPr>
          <w:b w:val="0"/>
          <w:sz w:val="23"/>
          <w:szCs w:val="23"/>
        </w:rPr>
        <w:lastRenderedPageBreak/>
        <w:t>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w:t>
      </w:r>
      <w:r w:rsidRPr="008F4E43">
        <w:rPr>
          <w:rFonts w:eastAsia="Calibri"/>
          <w:sz w:val="23"/>
          <w:szCs w:val="23"/>
        </w:rPr>
        <w:lastRenderedPageBreak/>
        <w:t>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lastRenderedPageBreak/>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w:t>
      </w:r>
      <w:bookmarkStart w:id="0" w:name="_GoBack"/>
      <w:bookmarkEnd w:id="0"/>
      <w:r w:rsidRPr="008F4E43">
        <w:rPr>
          <w:sz w:val="23"/>
          <w:szCs w:val="23"/>
        </w:rPr>
        <w:t xml:space="preserve">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A53B10">
      <w:headerReference w:type="even" r:id="rId9"/>
      <w:headerReference w:type="default" r:id="rId10"/>
      <w:endnotePr>
        <w:numFmt w:val="decimal"/>
      </w:endnotePr>
      <w:pgSz w:w="11907" w:h="16840" w:code="9"/>
      <w:pgMar w:top="828" w:right="567" w:bottom="567"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1E" w:rsidRDefault="006A1D1E">
      <w:r>
        <w:separator/>
      </w:r>
    </w:p>
  </w:endnote>
  <w:endnote w:type="continuationSeparator" w:id="0">
    <w:p w:rsidR="006A1D1E" w:rsidRDefault="006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1E" w:rsidRDefault="006A1D1E">
      <w:r>
        <w:separator/>
      </w:r>
    </w:p>
  </w:footnote>
  <w:footnote w:type="continuationSeparator" w:id="0">
    <w:p w:rsidR="006A1D1E" w:rsidRDefault="006A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1E" w:rsidRDefault="006A1D1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A1D1E" w:rsidRDefault="006A1D1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1E" w:rsidRDefault="006A1D1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53B10">
      <w:rPr>
        <w:rStyle w:val="a8"/>
        <w:rFonts w:ascii="Times New Roman CYR" w:hAnsi="Times New Roman CYR"/>
        <w:noProof/>
        <w:sz w:val="24"/>
      </w:rPr>
      <w:t>10</w:t>
    </w:r>
    <w:r>
      <w:rPr>
        <w:rStyle w:val="a8"/>
        <w:rFonts w:ascii="Times New Roman CYR" w:hAnsi="Times New Roman CYR"/>
        <w:sz w:val="24"/>
      </w:rPr>
      <w:fldChar w:fldCharType="end"/>
    </w:r>
  </w:p>
  <w:p w:rsidR="006A1D1E" w:rsidRDefault="006A1D1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1780"/>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A1D1E"/>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B10"/>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14EA9"/>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DE7F90"/>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83B1-856B-4BB3-B41E-BD35C900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365</cp:revision>
  <cp:lastPrinted>2020-02-21T10:59:00Z</cp:lastPrinted>
  <dcterms:created xsi:type="dcterms:W3CDTF">2017-11-27T09:42:00Z</dcterms:created>
  <dcterms:modified xsi:type="dcterms:W3CDTF">2020-02-21T11:03:00Z</dcterms:modified>
</cp:coreProperties>
</file>